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Russia</w:t>
      </w:r>
      <w:r>
        <w:t xml:space="preserve"> </w:t>
      </w:r>
      <w:r>
        <w:t xml:space="preserve">Moscow</w:t>
      </w:r>
    </w:p>
    <w:bookmarkStart w:id="34" w:name="ophthalmologist-resume"/>
    <w:p>
      <w:pPr>
        <w:pStyle w:val="Heading1"/>
      </w:pPr>
      <w:r>
        <w:t xml:space="preserve">Ophthalmologist Resume</w:t>
      </w:r>
    </w:p>
    <w:p>
      <w:pPr>
        <w:pStyle w:val="FirstParagraph"/>
      </w:pPr>
      <w:r>
        <w:rPr>
          <w:bCs/>
          <w:b/>
        </w:rPr>
        <w:t xml:space="preserve">Resume for Ophthalmologist in Russia Moscow</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Petrova</w:t>
      </w:r>
      <w:r>
        <w:br/>
      </w:r>
      <w:r>
        <w:rPr>
          <w:bCs/>
          <w:b/>
        </w:rPr>
        <w:t xml:space="preserve">Email:</w:t>
      </w:r>
      <w:r>
        <w:t xml:space="preserve"> </w:t>
      </w:r>
      <w:r>
        <w:t xml:space="preserve">elena.petrova@ophthalmologist.ru</w:t>
      </w:r>
      <w:r>
        <w:br/>
      </w:r>
      <w:r>
        <w:rPr>
          <w:bCs/>
          <w:b/>
        </w:rPr>
        <w:t xml:space="preserve">Phone:</w:t>
      </w:r>
      <w:r>
        <w:t xml:space="preserve"> </w:t>
      </w:r>
      <w:r>
        <w:t xml:space="preserve">+7 (495)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skilled and dedicated Ophthalmologist with over a decade of experience in diagnosing and treating ocular diseases in the dynamic medical landscape of Russia Moscow. Specialized in advanced surgical techniques, pediatric ophthalmology, and refractive procedures. Committed to providing compassionate care while advancing clinical excellence in one of the most competitive healthcare hubs in Eastern Europe. Proven track record of collaborating with leading hospitals and research institutions across Moscow to enhance patient outcomes and promote innovative treatments.</w:t>
      </w:r>
    </w:p>
    <w:bookmarkEnd w:id="21"/>
    <w:bookmarkStart w:id="22" w:name="education"/>
    <w:p>
      <w:pPr>
        <w:pStyle w:val="Heading2"/>
      </w:pPr>
      <w:r>
        <w:t xml:space="preserve">Education</w:t>
      </w:r>
    </w:p>
    <w:p>
      <w:pPr>
        <w:numPr>
          <w:ilvl w:val="0"/>
          <w:numId w:val="1001"/>
        </w:numPr>
        <w:pStyle w:val="Compact"/>
      </w:pPr>
      <w:r>
        <w:rPr>
          <w:bCs/>
          <w:b/>
        </w:rPr>
        <w:t xml:space="preserve">Russia State Medical University, Moscow</w:t>
      </w:r>
      <w:r>
        <w:t xml:space="preserve"> </w:t>
      </w:r>
      <w:r>
        <w:t xml:space="preserve">- Doctor of Medicine (MD), Ophthalmology Department</w:t>
      </w:r>
      <w:r>
        <w:br/>
      </w:r>
      <w:r>
        <w:rPr>
          <w:iCs/>
          <w:i/>
        </w:rPr>
        <w:t xml:space="preserve">Graduated: 2010</w:t>
      </w:r>
    </w:p>
    <w:p>
      <w:pPr>
        <w:numPr>
          <w:ilvl w:val="0"/>
          <w:numId w:val="1001"/>
        </w:numPr>
        <w:pStyle w:val="Compact"/>
      </w:pPr>
      <w:r>
        <w:rPr>
          <w:bCs/>
          <w:b/>
        </w:rPr>
        <w:t xml:space="preserve">Russian Institute of Eye Diseases</w:t>
      </w:r>
      <w:r>
        <w:t xml:space="preserve"> </w:t>
      </w:r>
      <w:r>
        <w:t xml:space="preserve">- Fellowship in Corneal Transplantation and Cataract Surgery</w:t>
      </w:r>
      <w:r>
        <w:br/>
      </w:r>
      <w:r>
        <w:rPr>
          <w:iCs/>
          <w:i/>
        </w:rPr>
        <w:t xml:space="preserve">Completed: 2013</w:t>
      </w:r>
    </w:p>
    <w:p>
      <w:pPr>
        <w:numPr>
          <w:ilvl w:val="0"/>
          <w:numId w:val="1001"/>
        </w:numPr>
        <w:pStyle w:val="Compact"/>
      </w:pPr>
      <w:r>
        <w:rPr>
          <w:bCs/>
          <w:b/>
        </w:rPr>
        <w:t xml:space="preserve">International Ophthalmological Congress, Moscow</w:t>
      </w:r>
      <w:r>
        <w:t xml:space="preserve"> </w:t>
      </w:r>
      <w:r>
        <w:t xml:space="preserve">- Advanced Training in Retinal Disorders</w:t>
      </w:r>
      <w:r>
        <w:br/>
      </w:r>
      <w:r>
        <w:rPr>
          <w:iCs/>
          <w:i/>
        </w:rPr>
        <w:t xml:space="preserve">Attended: 2017</w:t>
      </w:r>
    </w:p>
    <w:bookmarkEnd w:id="22"/>
    <w:bookmarkStart w:id="25" w:name="professional-experience"/>
    <w:p>
      <w:pPr>
        <w:pStyle w:val="Heading2"/>
      </w:pPr>
      <w:r>
        <w:t xml:space="preserve">Professional Experience</w:t>
      </w:r>
    </w:p>
    <w:bookmarkStart w:id="23" w:name="russian-national-eye-hospital-moscow"/>
    <w:p>
      <w:pPr>
        <w:pStyle w:val="Heading3"/>
      </w:pPr>
      <w:r>
        <w:rPr>
          <w:bCs/>
          <w:b/>
        </w:rPr>
        <w:t xml:space="preserve">Russian National Eye Hospital, Moscow</w:t>
      </w:r>
    </w:p>
    <w:p>
      <w:pPr>
        <w:pStyle w:val="FirstParagraph"/>
      </w:pPr>
      <w:r>
        <w:rPr>
          <w:iCs/>
          <w:i/>
        </w:rPr>
        <w:t xml:space="preserve">Ophthalmologist | 2015–Present</w:t>
      </w:r>
    </w:p>
    <w:p>
      <w:pPr>
        <w:numPr>
          <w:ilvl w:val="0"/>
          <w:numId w:val="1002"/>
        </w:numPr>
        <w:pStyle w:val="Compact"/>
      </w:pPr>
      <w:r>
        <w:t xml:space="preserve">Diagnosed and treated over 5,000 patients annually, including complex cases of glaucoma, diabetic retinopathy, and age-related macular degeneration.</w:t>
      </w:r>
    </w:p>
    <w:p>
      <w:pPr>
        <w:numPr>
          <w:ilvl w:val="0"/>
          <w:numId w:val="1002"/>
        </w:numPr>
        <w:pStyle w:val="Compact"/>
      </w:pPr>
      <w:r>
        <w:t xml:space="preserve">Led surgical teams in performing more than 1,200 cataract surgeries using state-of-the-art femtosecond laser technology.</w:t>
      </w:r>
    </w:p>
    <w:p>
      <w:pPr>
        <w:numPr>
          <w:ilvl w:val="0"/>
          <w:numId w:val="1002"/>
        </w:numPr>
        <w:pStyle w:val="Compact"/>
      </w:pPr>
      <w:r>
        <w:t xml:space="preserve">Collaborated with Russian and international researchers to implement clinical trials for novel therapies in ocular regeneration.</w:t>
      </w:r>
    </w:p>
    <w:p>
      <w:pPr>
        <w:numPr>
          <w:ilvl w:val="0"/>
          <w:numId w:val="1002"/>
        </w:numPr>
        <w:pStyle w:val="Compact"/>
      </w:pPr>
      <w:r>
        <w:t xml:space="preserve">Provided mentorship to 30+ medical students and residents, emphasizing the importance of precision and ethical practice in Russia Moscow’s healthcare system.</w:t>
      </w:r>
    </w:p>
    <w:bookmarkEnd w:id="23"/>
    <w:bookmarkStart w:id="24" w:name="moscow-ophthalmology-clinic"/>
    <w:p>
      <w:pPr>
        <w:pStyle w:val="Heading3"/>
      </w:pPr>
      <w:r>
        <w:rPr>
          <w:bCs/>
          <w:b/>
        </w:rPr>
        <w:t xml:space="preserve">Moscow Ophthalmology Clinic</w:t>
      </w:r>
    </w:p>
    <w:p>
      <w:pPr>
        <w:pStyle w:val="FirstParagraph"/>
      </w:pPr>
      <w:r>
        <w:rPr>
          <w:iCs/>
          <w:i/>
        </w:rPr>
        <w:t xml:space="preserve">Senior Ophthalmologist | 2010–2015</w:t>
      </w:r>
    </w:p>
    <w:p>
      <w:pPr>
        <w:numPr>
          <w:ilvl w:val="0"/>
          <w:numId w:val="1003"/>
        </w:numPr>
        <w:pStyle w:val="Compact"/>
      </w:pPr>
      <w:r>
        <w:t xml:space="preserve">Specialized in pediatric ophthalmology, treating over 800 children for strabismus and amblyopia with high success rates.</w:t>
      </w:r>
    </w:p>
    <w:p>
      <w:pPr>
        <w:numPr>
          <w:ilvl w:val="0"/>
          <w:numId w:val="1003"/>
        </w:numPr>
        <w:pStyle w:val="Compact"/>
      </w:pPr>
      <w:r>
        <w:t xml:space="preserve">Developed a patient-centered approach to care, incorporating telemedicine solutions to improve accessibility for rural populations in Russia Moscow.</w:t>
      </w:r>
    </w:p>
    <w:p>
      <w:pPr>
        <w:numPr>
          <w:ilvl w:val="0"/>
          <w:numId w:val="1003"/>
        </w:numPr>
        <w:pStyle w:val="Compact"/>
      </w:pPr>
      <w:r>
        <w:t xml:space="preserve">Authored several publications in Russian medical journals on the impact of urban environments on eye health, contributing to policy discussions in the region.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Russian State Medical License</w:t>
      </w:r>
      <w:r>
        <w:t xml:space="preserve"> </w:t>
      </w:r>
      <w:r>
        <w:t xml:space="preserve">– Issued by Roszdravnadzor, valid until 2030.</w:t>
      </w:r>
    </w:p>
    <w:p>
      <w:pPr>
        <w:numPr>
          <w:ilvl w:val="0"/>
          <w:numId w:val="1004"/>
        </w:numPr>
        <w:pStyle w:val="Compact"/>
      </w:pPr>
      <w:r>
        <w:rPr>
          <w:bCs/>
          <w:b/>
        </w:rPr>
        <w:t xml:space="preserve">American Board of Ophthalmology Certification</w:t>
      </w:r>
      <w:r>
        <w:t xml:space="preserve"> </w:t>
      </w:r>
      <w:r>
        <w:t xml:space="preserve">– Recognized for international collaboration in Russia Moscow.</w:t>
      </w:r>
    </w:p>
    <w:p>
      <w:pPr>
        <w:numPr>
          <w:ilvl w:val="0"/>
          <w:numId w:val="1004"/>
        </w:numPr>
        <w:pStyle w:val="Compact"/>
      </w:pPr>
      <w:r>
        <w:rPr>
          <w:bCs/>
          <w:b/>
        </w:rPr>
        <w:t xml:space="preserve">Certificate in Advanced Surgical Techniques</w:t>
      </w:r>
      <w:r>
        <w:t xml:space="preserve"> </w:t>
      </w:r>
      <w:r>
        <w:t xml:space="preserve">– Awarded by the European Society of Cataract and Refractive Surgeons (2018).</w:t>
      </w:r>
    </w:p>
    <w:bookmarkEnd w:id="26"/>
    <w:bookmarkStart w:id="27" w:name="technical-skills"/>
    <w:p>
      <w:pPr>
        <w:pStyle w:val="Heading2"/>
      </w:pPr>
      <w:r>
        <w:t xml:space="preserve">Technical Skills</w:t>
      </w:r>
    </w:p>
    <w:p>
      <w:pPr>
        <w:numPr>
          <w:ilvl w:val="0"/>
          <w:numId w:val="1005"/>
        </w:numPr>
        <w:pStyle w:val="Compact"/>
      </w:pPr>
      <w:r>
        <w:t xml:space="preserve">Proficient in diagnostic tools such as OCT, Visual Field Analyzers, and Corneal Topographers.</w:t>
      </w:r>
    </w:p>
    <w:p>
      <w:pPr>
        <w:numPr>
          <w:ilvl w:val="0"/>
          <w:numId w:val="1005"/>
        </w:numPr>
        <w:pStyle w:val="Compact"/>
      </w:pPr>
      <w:r>
        <w:t xml:space="preserve">Expertise in laser eye surgery (LASIK, PRK) and intraocular lens implantation.</w:t>
      </w:r>
    </w:p>
    <w:p>
      <w:pPr>
        <w:numPr>
          <w:ilvl w:val="0"/>
          <w:numId w:val="1005"/>
        </w:numPr>
        <w:pStyle w:val="Compact"/>
      </w:pPr>
      <w:r>
        <w:t xml:space="preserve">Skilled in managing electronic health records (EHR) systems used by major hospitals in Russia Moscow.</w:t>
      </w:r>
    </w:p>
    <w:p>
      <w:pPr>
        <w:numPr>
          <w:ilvl w:val="0"/>
          <w:numId w:val="1005"/>
        </w:numPr>
        <w:pStyle w:val="Compact"/>
      </w:pPr>
      <w:r>
        <w:t xml:space="preserve">Fluent in Russian and English, with the ability to communicate effectively with international patients.</w:t>
      </w:r>
    </w:p>
    <w:bookmarkEnd w:id="27"/>
    <w:bookmarkStart w:id="28" w:name="languages"/>
    <w:p>
      <w:pPr>
        <w:pStyle w:val="Heading2"/>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Fluent (IELTS 7.5)</w:t>
      </w:r>
    </w:p>
    <w:p>
      <w:pPr>
        <w:numPr>
          <w:ilvl w:val="0"/>
          <w:numId w:val="1006"/>
        </w:numPr>
        <w:pStyle w:val="Compact"/>
      </w:pPr>
      <w:r>
        <w:t xml:space="preserve">German – Basic communication (for European collaborations)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Russian Ophthalmological Society</w:t>
      </w:r>
      <w:r>
        <w:t xml:space="preserve"> </w:t>
      </w:r>
      <w:r>
        <w:t xml:space="preserve">– Member since 2012.</w:t>
      </w:r>
    </w:p>
    <w:p>
      <w:pPr>
        <w:numPr>
          <w:ilvl w:val="0"/>
          <w:numId w:val="1007"/>
        </w:numPr>
        <w:pStyle w:val="Compact"/>
      </w:pPr>
      <w:r>
        <w:rPr>
          <w:bCs/>
          <w:b/>
        </w:rPr>
        <w:t xml:space="preserve">International Council of Ophthalmology (ICO)</w:t>
      </w:r>
      <w:r>
        <w:t xml:space="preserve"> </w:t>
      </w:r>
      <w:r>
        <w:t xml:space="preserve">– Active participant in global health initiatives.</w:t>
      </w:r>
    </w:p>
    <w:p>
      <w:pPr>
        <w:numPr>
          <w:ilvl w:val="0"/>
          <w:numId w:val="1007"/>
        </w:numPr>
        <w:pStyle w:val="Compact"/>
      </w:pPr>
      <w:r>
        <w:rPr>
          <w:bCs/>
          <w:b/>
        </w:rPr>
        <w:t xml:space="preserve">Moscow Eye Research Institute</w:t>
      </w:r>
      <w:r>
        <w:t xml:space="preserve"> </w:t>
      </w:r>
      <w:r>
        <w:t xml:space="preserve">– Collaborating scientist on projects related to ocular genetics and AI-driven diagnostics.</w:t>
      </w:r>
    </w:p>
    <w:bookmarkEnd w:id="29"/>
    <w:bookmarkStart w:id="30" w:name="awards-and-honors"/>
    <w:p>
      <w:pPr>
        <w:pStyle w:val="Heading2"/>
      </w:pPr>
      <w:r>
        <w:t xml:space="preserve">Awards and Honors</w:t>
      </w:r>
    </w:p>
    <w:p>
      <w:pPr>
        <w:numPr>
          <w:ilvl w:val="0"/>
          <w:numId w:val="1008"/>
        </w:numPr>
        <w:pStyle w:val="Compact"/>
      </w:pPr>
      <w:r>
        <w:rPr>
          <w:bCs/>
          <w:b/>
        </w:rPr>
        <w:t xml:space="preserve">Top Ophthalmologist of Moscow (2019)</w:t>
      </w:r>
      <w:r>
        <w:t xml:space="preserve"> </w:t>
      </w:r>
      <w:r>
        <w:t xml:space="preserve">– Recognized by the Russian Medical Association for excellence in patient care.</w:t>
      </w:r>
    </w:p>
    <w:p>
      <w:pPr>
        <w:numPr>
          <w:ilvl w:val="0"/>
          <w:numId w:val="1008"/>
        </w:numPr>
        <w:pStyle w:val="Compact"/>
      </w:pPr>
      <w:r>
        <w:rPr>
          <w:bCs/>
          <w:b/>
        </w:rPr>
        <w:t xml:space="preserve">National Innovation Award in Ophthalmology (2017)</w:t>
      </w:r>
      <w:r>
        <w:t xml:space="preserve"> </w:t>
      </w:r>
      <w:r>
        <w:t xml:space="preserve">– For developing a low-cost screening tool for diabetic retinopathy.</w:t>
      </w:r>
    </w:p>
    <w:p>
      <w:pPr>
        <w:numPr>
          <w:ilvl w:val="0"/>
          <w:numId w:val="1008"/>
        </w:numPr>
        <w:pStyle w:val="Compact"/>
      </w:pPr>
      <w:r>
        <w:rPr>
          <w:bCs/>
          <w:b/>
        </w:rPr>
        <w:t xml:space="preserve">Outstanding Contribution to Medical Education (2016)</w:t>
      </w:r>
      <w:r>
        <w:t xml:space="preserve"> </w:t>
      </w:r>
      <w:r>
        <w:t xml:space="preserve">– Honored by the Russian State Medical University for teaching excellence.</w:t>
      </w:r>
    </w:p>
    <w:bookmarkEnd w:id="30"/>
    <w:bookmarkStart w:id="31" w:name="publications-and-research"/>
    <w:p>
      <w:pPr>
        <w:pStyle w:val="Heading2"/>
      </w:pPr>
      <w:r>
        <w:t xml:space="preserve">Publications and Research</w:t>
      </w:r>
    </w:p>
    <w:p>
      <w:pPr>
        <w:numPr>
          <w:ilvl w:val="0"/>
          <w:numId w:val="1009"/>
        </w:numPr>
        <w:pStyle w:val="Compact"/>
      </w:pPr>
      <w:r>
        <w:t xml:space="preserve">Petrova, E. et al. (2018). "Innovative Approaches to Cataract Surgery in Urban Populations: A Study from Moscow." *Russian Journal of Ophthalmology*, 45(3), 112-120.</w:t>
      </w:r>
    </w:p>
    <w:p>
      <w:pPr>
        <w:numPr>
          <w:ilvl w:val="0"/>
          <w:numId w:val="1009"/>
        </w:numPr>
        <w:pStyle w:val="Compact"/>
      </w:pPr>
      <w:r>
        <w:t xml:space="preserve">Petrova, E. (2020). "Telemedicine in Ophthalmology: Bridging Gaps in Russia’s Healthcare System." *International Ophthalmology Clinics*, 60(4), 78-95.</w:t>
      </w:r>
    </w:p>
    <w:p>
      <w:pPr>
        <w:numPr>
          <w:ilvl w:val="0"/>
          <w:numId w:val="1009"/>
        </w:numPr>
        <w:pStyle w:val="Compact"/>
      </w:pPr>
      <w:r>
        <w:t xml:space="preserve">Contributed chapters on pediatric ophthalmology to the textbook *Modern Practices in Eye Care* (2019, Moscow Press).</w:t>
      </w:r>
    </w:p>
    <w:bookmarkEnd w:id="31"/>
    <w:bookmarkStart w:id="32" w:name="volunteer-work"/>
    <w:p>
      <w:pPr>
        <w:pStyle w:val="Heading2"/>
      </w:pPr>
      <w:r>
        <w:t xml:space="preserve">Volunteer Work</w:t>
      </w:r>
    </w:p>
    <w:p>
      <w:pPr>
        <w:numPr>
          <w:ilvl w:val="0"/>
          <w:numId w:val="1010"/>
        </w:numPr>
        <w:pStyle w:val="Compact"/>
      </w:pPr>
      <w:r>
        <w:rPr>
          <w:bCs/>
          <w:b/>
        </w:rPr>
        <w:t xml:space="preserve">Russia Moscow Free Eye Clinics</w:t>
      </w:r>
      <w:r>
        <w:t xml:space="preserve"> </w:t>
      </w:r>
      <w:r>
        <w:t xml:space="preserve">– Volunteer Ophthalmologist (2014–Present), providing free screenings and treatments to underprivileged communities.</w:t>
      </w:r>
    </w:p>
    <w:p>
      <w:pPr>
        <w:numPr>
          <w:ilvl w:val="0"/>
          <w:numId w:val="1010"/>
        </w:numPr>
        <w:pStyle w:val="Compact"/>
      </w:pPr>
      <w:r>
        <w:rPr>
          <w:bCs/>
          <w:b/>
        </w:rPr>
        <w:t xml:space="preserve">Global Vision 2020 Initiative</w:t>
      </w:r>
      <w:r>
        <w:t xml:space="preserve"> </w:t>
      </w:r>
      <w:r>
        <w:t xml:space="preserve">– Partnered with NGOs to conduct awareness campaigns on eye health in rural areas of Russia Moscow.</w:t>
      </w:r>
    </w:p>
    <w:bookmarkEnd w:id="32"/>
    <w:bookmarkStart w:id="33" w:name="references"/>
    <w:p>
      <w:pPr>
        <w:pStyle w:val="Heading2"/>
      </w:pPr>
      <w:r>
        <w:t xml:space="preserve">References</w:t>
      </w:r>
    </w:p>
    <w:p>
      <w:pPr>
        <w:pStyle w:val="FirstParagraph"/>
      </w:pPr>
      <w:r>
        <w:t xml:space="preserve">Available upon request. Contact Dr. Elena Petrova via email or phone for detailed letters of recommendation.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Russia Moscow</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