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1" w:name="resume-optometrist-in-sudan-khartoum"/>
    <w:p>
      <w:pPr>
        <w:pStyle w:val="Heading1"/>
      </w:pPr>
      <w:r>
        <w:t xml:space="preserve">Resume: Optometrist in Sudan Khartoum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Sudan Khartoum, Sudan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Sudan Khartoum. Committed to improving vision health through accurate diagnostics, patient-centered treatment plans, and community outreach. Proficient in managing ocular conditions, prescribing corrective lenses, and collaborating with ophthalmologists to ensure holistic patient care. A strong advocate for eye health education in Sudan Khartoum, striving to bridge gaps in access to quality optometric services.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 (B.Optom)</w:t>
      </w:r>
      <w:r>
        <w:t xml:space="preserve">, [University Name], Sudan Khartoum, Sudan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</w:t>
      </w:r>
      <w:r>
        <w:t xml:space="preserve">, [University Name], Sudan Khartoum, Sudan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VisionCare Clinic, Sudan Khartoum, Sudan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exams and diagnose ocular diseases such as glaucoma, cataracts, and diabetic retinopathy in diverse patient populations across Sudan Khartoum.</w:t>
      </w:r>
    </w:p>
    <w:p>
      <w:pPr>
        <w:numPr>
          <w:ilvl w:val="0"/>
          <w:numId w:val="1002"/>
        </w:numPr>
        <w:pStyle w:val="Compact"/>
      </w:pPr>
      <w:r>
        <w:t xml:space="preserve">Prescribe and dispense corrective lenses, including glasses and contact lenses,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at Al-Fashir Teaching Hospital in Sudan Khartoum to manage complex cases requiring surgical intervention.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maintaining eye health, including preventive care for common conditions like dry eyes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Lead training sessions for junior optometrists at the Sudan Khartoum Optometric Association to enhance clinical skills and ethical practices.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Center, Sudan Khartoum, Sudan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Delivered primary eye care services to over 1,000 patients annually in Sudan Khartoum, focusing on pediatric and geriatric populations.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retinal imaging and visual field analyzers to ensure precise diagnoses.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schools in Sudan Khartoum to conduct free vision screenings for children, identifying early signs of refractive errors.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and ensured compliance with Sudanese optometric regulations and standards.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Khartoum Eye Hospital, Sudan Khartoum, Sudan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optometry under the supervision of senior ophthalmologists in Sudan Khartoum.</w:t>
      </w:r>
    </w:p>
    <w:p>
      <w:pPr>
        <w:numPr>
          <w:ilvl w:val="0"/>
          <w:numId w:val="1004"/>
        </w:numPr>
        <w:pStyle w:val="Compact"/>
      </w:pPr>
      <w:r>
        <w:t xml:space="preserve">Assisted in the management of emergency eye cases, including corneal abrasions and foreign body removal.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campaigns to raise awareness about preventable blindness in Sudan Khartoum.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Sudanese Optometrists Licensing Board (SOLB) License</w:t>
      </w:r>
      <w:r>
        <w:t xml:space="preserve"> </w:t>
      </w:r>
      <w:r>
        <w:t xml:space="preserve">– License Number: [Number], Valid Until: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Ophthalmic Assistant (COA)</w:t>
      </w:r>
      <w:r>
        <w:t xml:space="preserve">, American Society of Ophthalmic Registered Nurses,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Sudan Khartoum Institute of Vision Sciences,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Refraction, ocular disease management, contact lens fitting, visual field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diagnostic instruments (e.g., autorefractors, tonometers), electronic health records (EHR)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complex eye conditions and treatment plans to patients in Sudan Khartoum.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bookmarkEnd w:id="27"/>
    <w:bookmarkStart w:id="28" w:name="community-engagement-outreach"/>
    <w:p>
      <w:pPr>
        <w:pStyle w:val="Heading2"/>
      </w:pPr>
      <w:r>
        <w:t xml:space="preserve">Community Engagement &amp; Outreach</w:t>
      </w:r>
    </w:p>
    <w:p>
      <w:pPr>
        <w:numPr>
          <w:ilvl w:val="0"/>
          <w:numId w:val="1007"/>
        </w:numPr>
        <w:pStyle w:val="Compact"/>
      </w:pPr>
      <w:r>
        <w:t xml:space="preserve">Volunteered with the Sudan Khartoum Eye Health Foundation to organize free eye clinics in underserved areas of the city.</w:t>
      </w:r>
    </w:p>
    <w:p>
      <w:pPr>
        <w:numPr>
          <w:ilvl w:val="0"/>
          <w:numId w:val="1007"/>
        </w:numPr>
        <w:pStyle w:val="Compact"/>
      </w:pPr>
      <w:r>
        <w:t xml:space="preserve">Contributed to public health initiatives by educating communities in Sudan Khartoum about the importance of regular eye exams and early detection of vision-threatening conditions.</w:t>
      </w:r>
    </w:p>
    <w:p>
      <w:pPr>
        <w:numPr>
          <w:ilvl w:val="0"/>
          <w:numId w:val="1007"/>
        </w:numPr>
        <w:pStyle w:val="Compact"/>
      </w:pPr>
      <w:r>
        <w:t xml:space="preserve">Participated in a mobile optometry unit that provided services to remote regions near Sudan Khartoum, improving access to eye care for rural populations.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Sudan Optometrists Association (SOA)</w:t>
      </w:r>
      <w:r>
        <w:br/>
      </w:r>
      <w:r>
        <w:t xml:space="preserve">- Member, African Optometric Association (AOA)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br/>
      </w:r>
      <w:r>
        <w:t xml:space="preserve">- Co-authored a study on the prevalence of refractive errors in schoolchildren in Sudan Khartoum, published in the *Journal of Sudanese Ophthalmology* [Year].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Eye Screening Campaign, Sudan Khartoum Community Center,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Sudan Khartoum</dc:title>
  <dc:creator/>
  <cp:keywords/>
  <dcterms:created xsi:type="dcterms:W3CDTF">2025-12-10T21:51:31Z</dcterms:created>
  <dcterms:modified xsi:type="dcterms:W3CDTF">2025-12-10T21:51:31Z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