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University</w:t>
      </w:r>
      <w:r>
        <w:t xml:space="preserve"> </w:t>
      </w:r>
      <w:r>
        <w:t xml:space="preserve">Lecturer,</w:t>
      </w:r>
      <w:r>
        <w:t xml:space="preserve"> </w:t>
      </w:r>
      <w:r>
        <w:t xml:space="preserve">Kuala</w:t>
      </w:r>
      <w:r>
        <w:t xml:space="preserve"> </w:t>
      </w:r>
      <w:r>
        <w:t xml:space="preserve">Lumpur,</w:t>
      </w:r>
      <w:r>
        <w:t xml:space="preserve"> </w:t>
      </w:r>
      <w:r>
        <w:t xml:space="preserve">Malaysia</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+60 12-345 6789 |</w:t>
      </w:r>
      <w:r>
        <w:t xml:space="preserve"> </w:t>
      </w:r>
      <w:r>
        <w:rPr>
          <w:bCs/>
          <w:b/>
        </w:rPr>
        <w:t xml:space="preserve">Address:</w:t>
      </w:r>
      <w:r>
        <w:t xml:space="preserve"> </w:t>
      </w:r>
      <w:r>
        <w:t xml:space="preserve">45 Jalan Tunku Abdul Rahman, Kuala Lumpur, Malaysia</w:t>
      </w:r>
    </w:p>
    <w:bookmarkStart w:id="20"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[insert specific field, e.g., Economics or Computer Science]. Proven track record of delivering high-quality academic instruction to students across diverse cultural backgrounds within the dynamic academic environment of Malaysia. Committed to fostering critical thinking, innovation, and research excellence in the context of Kuala Lumpur’s vibrant educational ecosystem. A strong advocate for integrating industry-relevant practices into curricula, ensuring graduates are well-prepared for global challenges while aligning with Malaysia’s national education goals.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of Malaya, Kuala Lumpur, Malaysia (2015–2018)</w:t>
      </w:r>
    </w:p>
    <w:p>
      <w:pPr>
        <w:numPr>
          <w:ilvl w:val="0"/>
          <w:numId w:val="1001"/>
        </w:numPr>
        <w:pStyle w:val="Compact"/>
      </w:pPr>
      <w:r>
        <w:rPr>
          <w:bCs/>
          <w:b/>
        </w:rPr>
        <w:t xml:space="preserve">MSc in [Field of Study]</w:t>
      </w:r>
      <w:r>
        <w:t xml:space="preserve">, Universiti Kebangsaan Malaysia (UKM), Bangi, Malaysia (2012–2014)</w:t>
      </w:r>
    </w:p>
    <w:p>
      <w:pPr>
        <w:numPr>
          <w:ilvl w:val="0"/>
          <w:numId w:val="1001"/>
        </w:numPr>
        <w:pStyle w:val="Compact"/>
      </w:pPr>
      <w:r>
        <w:rPr>
          <w:bCs/>
          <w:b/>
        </w:rPr>
        <w:t xml:space="preserve">BSc in [Field of Study]</w:t>
      </w:r>
      <w:r>
        <w:t xml:space="preserve">, Universiti Putra Malaysia (UPM), Serdang, Malaysia (2008–2011)</w:t>
      </w:r>
    </w:p>
    <w:bookmarkEnd w:id="21"/>
    <w:bookmarkStart w:id="24"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bCs/>
          <w:b/>
        </w:rPr>
        <w:t xml:space="preserve">Kuala Lumpur University (KLU), Malaysia</w:t>
      </w:r>
      <w:r>
        <w:t xml:space="preserve"> </w:t>
      </w:r>
      <w:r>
        <w:t xml:space="preserve">| January 2019 – Present</w:t>
      </w:r>
    </w:p>
    <w:p>
      <w:pPr>
        <w:numPr>
          <w:ilvl w:val="0"/>
          <w:numId w:val="1002"/>
        </w:numPr>
        <w:pStyle w:val="Compact"/>
      </w:pPr>
      <w:r>
        <w:t xml:space="preserve">Designed and delivered undergraduate and postgraduate courses in [specific subjects], emphasizing practical applications aligned with Malaysia’s national education framework.</w:t>
      </w:r>
    </w:p>
    <w:p>
      <w:pPr>
        <w:numPr>
          <w:ilvl w:val="0"/>
          <w:numId w:val="1002"/>
        </w:numPr>
        <w:pStyle w:val="Compact"/>
      </w:pPr>
      <w:r>
        <w:t xml:space="preserve">Served as a supervisor for 20+ research projects, including thesis work for Master’s and PhD students, many of whom have contributed to publications in reputable journals.</w:t>
      </w:r>
    </w:p>
    <w:p>
      <w:pPr>
        <w:numPr>
          <w:ilvl w:val="0"/>
          <w:numId w:val="1002"/>
        </w:numPr>
        <w:pStyle w:val="Compact"/>
      </w:pPr>
      <w:r>
        <w:t xml:space="preserve">Collaborated with industry partners in Kuala Lumpur to develop internships and co-curricular activities that enhance student employability.</w:t>
      </w:r>
    </w:p>
    <w:p>
      <w:pPr>
        <w:numPr>
          <w:ilvl w:val="0"/>
          <w:numId w:val="1002"/>
        </w:numPr>
        <w:pStyle w:val="Compact"/>
      </w:pPr>
      <w:r>
        <w:t xml:space="preserve">Contributed to the development of a new curriculum module focused on digital transformation, reflecting the needs of Malaysia’s Fourth Industrial Revolution (4IR) initiatives.</w:t>
      </w:r>
    </w:p>
    <w:p>
      <w:pPr>
        <w:numPr>
          <w:ilvl w:val="0"/>
          <w:numId w:val="1002"/>
        </w:numPr>
        <w:pStyle w:val="Compact"/>
      </w:pPr>
      <w:r>
        <w:t xml:space="preserve">Acted as a committee member for academic integrity and student welfare programs at KLU, ensuring compliance with Malaysian higher education standards.</w:t>
      </w:r>
    </w:p>
    <w:bookmarkEnd w:id="22"/>
    <w:bookmarkStart w:id="23" w:name="lecturer"/>
    <w:p>
      <w:pPr>
        <w:pStyle w:val="Heading3"/>
      </w:pPr>
      <w:r>
        <w:t xml:space="preserve">Lecturer</w:t>
      </w:r>
    </w:p>
    <w:p>
      <w:pPr>
        <w:pStyle w:val="FirstParagraph"/>
      </w:pPr>
      <w:r>
        <w:rPr>
          <w:bCs/>
          <w:b/>
        </w:rPr>
        <w:t xml:space="preserve">Universiti Tenaga Nasional (UNITEN), Malaysia</w:t>
      </w:r>
      <w:r>
        <w:t xml:space="preserve"> </w:t>
      </w:r>
      <w:r>
        <w:t xml:space="preserve">| March 2014 – December 2018</w:t>
      </w:r>
    </w:p>
    <w:p>
      <w:pPr>
        <w:numPr>
          <w:ilvl w:val="0"/>
          <w:numId w:val="1003"/>
        </w:numPr>
        <w:pStyle w:val="Compact"/>
      </w:pPr>
      <w:r>
        <w:t xml:space="preserve">Taught core and elective courses in [specific subjects], with a focus on fostering analytical skills among students from multicultural backgrounds in Kuala Lumpur.</w:t>
      </w:r>
    </w:p>
    <w:p>
      <w:pPr>
        <w:numPr>
          <w:ilvl w:val="0"/>
          <w:numId w:val="1003"/>
        </w:numPr>
        <w:pStyle w:val="Compact"/>
      </w:pPr>
      <w:r>
        <w:t xml:space="preserve">Published research in international journals, including a study on [topic], which was recognized by the Malaysian Ministry of Education for its contribution to local academic discourse.</w:t>
      </w:r>
    </w:p>
    <w:p>
      <w:pPr>
        <w:numPr>
          <w:ilvl w:val="0"/>
          <w:numId w:val="1003"/>
        </w:numPr>
        <w:pStyle w:val="Compact"/>
      </w:pPr>
      <w:r>
        <w:t xml:space="preserve">Organized and led workshops for educators in Malaysia to adopt innovative teaching methodologies, such as blended learning and flipped classrooms.</w:t>
      </w:r>
    </w:p>
    <w:p>
      <w:pPr>
        <w:numPr>
          <w:ilvl w:val="0"/>
          <w:numId w:val="1003"/>
        </w:numPr>
        <w:pStyle w:val="Compact"/>
      </w:pPr>
      <w:r>
        <w:t xml:space="preserve">Played a pivotal role in establishing a research consortium with Kuala Lumpur-based institutions, facilitating interdisciplinary projects on [relevant topics].</w: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Higher Education Teaching Fellowship (HETF)</w:t>
      </w:r>
      <w:r>
        <w:t xml:space="preserve">, Malaysia Qualifications Agency (MQA) | 2017</w:t>
      </w:r>
    </w:p>
    <w:p>
      <w:pPr>
        <w:numPr>
          <w:ilvl w:val="0"/>
          <w:numId w:val="1004"/>
        </w:numPr>
        <w:pStyle w:val="Compact"/>
      </w:pPr>
      <w:r>
        <w:rPr>
          <w:bCs/>
          <w:b/>
        </w:rPr>
        <w:t xml:space="preserve">Research Ethics and Compliance Training</w:t>
      </w:r>
      <w:r>
        <w:t xml:space="preserve">, Universiti Malaya | 2016</w:t>
      </w:r>
    </w:p>
    <w:p>
      <w:pPr>
        <w:numPr>
          <w:ilvl w:val="0"/>
          <w:numId w:val="1004"/>
        </w:numPr>
        <w:pStyle w:val="Compact"/>
      </w:pPr>
      <w:r>
        <w:rPr>
          <w:bCs/>
          <w:b/>
        </w:rPr>
        <w:t xml:space="preserve">Certificate in Digital Pedagogy</w:t>
      </w:r>
      <w:r>
        <w:t xml:space="preserve">, National University of Singapore (NUS) | 2020</w:t>
      </w:r>
    </w:p>
    <w:bookmarkEnd w:id="25"/>
    <w:bookmarkStart w:id="26" w:name="skills"/>
    <w:p>
      <w:pPr>
        <w:pStyle w:val="Heading2"/>
      </w:pPr>
      <w:r>
        <w:t xml:space="preserve">Skills</w:t>
      </w:r>
    </w:p>
    <w:p>
      <w:pPr>
        <w:numPr>
          <w:ilvl w:val="0"/>
          <w:numId w:val="1005"/>
        </w:numPr>
        <w:pStyle w:val="Compact"/>
      </w:pPr>
      <w:r>
        <w:rPr>
          <w:bCs/>
          <w:b/>
        </w:rPr>
        <w:t xml:space="preserve">Academic Expertise:</w:t>
      </w:r>
      <w:r>
        <w:t xml:space="preserve"> </w:t>
      </w:r>
      <w:r>
        <w:t xml:space="preserve">Curriculum design, pedagogical innovation, research methodology, and student assessment.</w:t>
      </w:r>
    </w:p>
    <w:p>
      <w:pPr>
        <w:numPr>
          <w:ilvl w:val="0"/>
          <w:numId w:val="1005"/>
        </w:numPr>
        <w:pStyle w:val="Compact"/>
      </w:pPr>
      <w:r>
        <w:rPr>
          <w:bCs/>
          <w:b/>
        </w:rPr>
        <w:t xml:space="preserve">Technical Skills:</w:t>
      </w:r>
      <w:r>
        <w:t xml:space="preserve"> </w:t>
      </w:r>
      <w:r>
        <w:t xml:space="preserve">Proficient in statistical software (SPSS, R), data analysis tools, and digital learning platforms (Moodle, Google Classroom).</w:t>
      </w:r>
    </w:p>
    <w:p>
      <w:pPr>
        <w:numPr>
          <w:ilvl w:val="0"/>
          <w:numId w:val="1005"/>
        </w:numPr>
        <w:pStyle w:val="Compact"/>
      </w:pPr>
      <w:r>
        <w:rPr>
          <w:bCs/>
          <w:b/>
        </w:rPr>
        <w:t xml:space="preserve">Languages:</w:t>
      </w:r>
      <w:r>
        <w:t xml:space="preserve"> </w:t>
      </w:r>
      <w:r>
        <w:t xml:space="preserve">Fluent in English and Malay; conversational proficiency in Mandarin (for collaborations with Malaysian-Chinese communities in Kuala Lumpur).</w:t>
      </w:r>
    </w:p>
    <w:p>
      <w:pPr>
        <w:numPr>
          <w:ilvl w:val="0"/>
          <w:numId w:val="1005"/>
        </w:numPr>
        <w:pStyle w:val="Compact"/>
      </w:pPr>
      <w:r>
        <w:rPr>
          <w:bCs/>
          <w:b/>
        </w:rPr>
        <w:t xml:space="preserve">Interpersonal Skills:</w:t>
      </w:r>
      <w:r>
        <w:t xml:space="preserve"> </w:t>
      </w:r>
      <w:r>
        <w:t xml:space="preserve">Strong communication, leadership, and cross-cultural collaboration abilities.</w:t>
      </w:r>
    </w:p>
    <w:bookmarkEnd w:id="26"/>
    <w:bookmarkStart w:id="27" w:name="publications"/>
    <w:p>
      <w:pPr>
        <w:pStyle w:val="Heading2"/>
      </w:pPr>
      <w:r>
        <w:t xml:space="preserve">Publications</w:t>
      </w:r>
    </w:p>
    <w:p>
      <w:pPr>
        <w:numPr>
          <w:ilvl w:val="0"/>
          <w:numId w:val="1006"/>
        </w:numPr>
        <w:pStyle w:val="Compact"/>
      </w:pPr>
      <w:r>
        <w:t xml:space="preserve">Doe, J. (2021). "Digital Transformation in Malaysian Higher Education: Challenges and Opportunities." *Journal of Educational Innovation*, 15(3), 45–60.</w:t>
      </w:r>
    </w:p>
    <w:p>
      <w:pPr>
        <w:numPr>
          <w:ilvl w:val="0"/>
          <w:numId w:val="1006"/>
        </w:numPr>
        <w:pStyle w:val="Compact"/>
      </w:pPr>
      <w:r>
        <w:t xml:space="preserve">Doe, J., &amp; Smith, A. (2019). "Curriculum Relevance in the Context of Industry 4.0." *Malaysian Journal of Higher Education*, 12(2), 88–105.</w: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Malaysian Association of Educators (MAE)</w:t>
      </w:r>
      <w:r>
        <w:t xml:space="preserve"> </w:t>
      </w:r>
      <w:r>
        <w:t xml:space="preserve">| Member since 2016</w:t>
      </w:r>
    </w:p>
    <w:p>
      <w:pPr>
        <w:numPr>
          <w:ilvl w:val="0"/>
          <w:numId w:val="1007"/>
        </w:numPr>
        <w:pStyle w:val="Compact"/>
      </w:pPr>
      <w:r>
        <w:rPr>
          <w:bCs/>
          <w:b/>
        </w:rPr>
        <w:t xml:space="preserve">International Society for Research in Education (ISRE)</w:t>
      </w:r>
      <w:r>
        <w:t xml:space="preserve"> </w:t>
      </w:r>
      <w:r>
        <w:t xml:space="preserve">| Member since 2018</w:t>
      </w:r>
    </w:p>
    <w:bookmarkEnd w:id="28"/>
    <w:bookmarkStart w:id="29" w:name="awards-recognition"/>
    <w:p>
      <w:pPr>
        <w:pStyle w:val="Heading2"/>
      </w:pPr>
      <w:r>
        <w:t xml:space="preserve">Awards &amp; Recognition</w:t>
      </w:r>
    </w:p>
    <w:p>
      <w:pPr>
        <w:numPr>
          <w:ilvl w:val="0"/>
          <w:numId w:val="1008"/>
        </w:numPr>
        <w:pStyle w:val="Compact"/>
      </w:pPr>
      <w:r>
        <w:rPr>
          <w:bCs/>
          <w:b/>
        </w:rPr>
        <w:t xml:space="preserve">Outstanding Lecturer Award,</w:t>
      </w:r>
      <w:r>
        <w:t xml:space="preserve"> </w:t>
      </w:r>
      <w:r>
        <w:t xml:space="preserve">Kuala Lumpur University (2021)</w:t>
      </w:r>
    </w:p>
    <w:p>
      <w:pPr>
        <w:numPr>
          <w:ilvl w:val="0"/>
          <w:numId w:val="1008"/>
        </w:numPr>
        <w:pStyle w:val="Compact"/>
      </w:pPr>
      <w:r>
        <w:rPr>
          <w:bCs/>
          <w:b/>
        </w:rPr>
        <w:t xml:space="preserve">National Teaching Excellence Award,</w:t>
      </w:r>
      <w:r>
        <w:t xml:space="preserve"> </w:t>
      </w:r>
      <w:r>
        <w:t xml:space="preserve">Malaysia (2019)</w:t>
      </w:r>
    </w:p>
    <w:bookmarkEnd w:id="29"/>
    <w:bookmarkStart w:id="30" w:name="references"/>
    <w:p>
      <w:pPr>
        <w:pStyle w:val="Heading2"/>
      </w:pPr>
      <w:r>
        <w:t xml:space="preserve">References</w:t>
      </w:r>
    </w:p>
    <w:p>
      <w:pPr>
        <w:pStyle w:val="FirstParagraph"/>
      </w:pPr>
      <w:r>
        <w:t xml:space="preserve">Available upon request. Please contact the candidate via email or phone for further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University Lecturer, Kuala Lumpur, Malaysia</dc:title>
  <dc:creator/>
  <dc:language>en</dc:language>
  <cp:keywords/>
  <dcterms:created xsi:type="dcterms:W3CDTF">2025-12-16T08:38:23Z</dcterms:created>
  <dcterms:modified xsi:type="dcterms:W3CDTF">2025-12-16T08:38:23Z</dcterms:modified>
</cp:coreProperties>
</file>

<file path=docProps/custom.xml><?xml version="1.0" encoding="utf-8"?>
<Properties xmlns="http://schemas.openxmlformats.org/officeDocument/2006/custom-properties" xmlns:vt="http://schemas.openxmlformats.org/officeDocument/2006/docPropsVTypes"/>
</file>