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Impact</w:t>
      </w:r>
      <w:r>
        <w:t xml:space="preserve"> </w:t>
      </w:r>
      <w:r>
        <w:t xml:space="preserve">in</w:t>
      </w:r>
      <w:r>
        <w:t xml:space="preserve"> </w:t>
      </w:r>
      <w:r>
        <w:t xml:space="preserve">Kabul,</w:t>
      </w:r>
      <w:r>
        <w:t xml:space="preserve"> </w:t>
      </w:r>
      <w:r>
        <w:t xml:space="preserve">Afghanistan</w:t>
      </w:r>
    </w:p>
    <w:bookmarkStart w:id="27" w:name="Xd8518fdb1bd21b626fcc20144272753a59f402b"/>
    <w:p>
      <w:pPr>
        <w:pStyle w:val="Heading1"/>
      </w:pPr>
      <w:r>
        <w:t xml:space="preserve">Sales Report: Strategic Academic Researcher Engagement and Impact Assessment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Educational Partnerships Board</w:t>
      </w:r>
      <w:r>
        <w:br/>
      </w:r>
      <w:r>
        <w:rPr>
          <w:bCs/>
          <w:b/>
        </w:rPr>
        <w:t xml:space="preserve">Prepared By:</w:t>
      </w:r>
      <w:r>
        <w:t xml:space="preserve"> </w:t>
      </w:r>
      <w:r>
        <w:t xml:space="preserve">Global Knowledge Exchange Division</w:t>
      </w:r>
    </w:p>
    <w:bookmarkStart w:id="20" w:name="executive-summary"/>
    <w:p>
      <w:pPr>
        <w:pStyle w:val="Heading2"/>
      </w:pPr>
      <w:r>
        <w:t xml:space="preserve">Executive Summary</w:t>
      </w:r>
    </w:p>
    <w:p>
      <w:pPr>
        <w:pStyle w:val="FirstParagraph"/>
      </w:pPr>
      <w:r>
        <w:t xml:space="preserve">This report details the strategic engagement and measurable impact of our Academic Researcher within the Kabul, Afghanistan ecosystem. Unlike traditional commercial sales, this report assesses knowledge transfer, institutional capacity building, and sustainable research partnerships as the core "sales" metrics in a context where academic infrastructure faces unprecedented challenges. The Academic Researcher's work has successfully positioned Kabul University and other key institutions as credible hubs for evidence-based policy development across critical sectors including healthcare, agriculture, and gender studies. This document demonstrates how academic engagement functions as a high-impact "sale" of knowledge capital to Afghanistan's development needs.</w:t>
      </w:r>
    </w:p>
    <w:bookmarkEnd w:id="20"/>
    <w:bookmarkStart w:id="21" w:name="X99b20deb952dd61a74ba8c8fda4f00ea7eabe4b"/>
    <w:p>
      <w:pPr>
        <w:pStyle w:val="Heading2"/>
      </w:pPr>
      <w:r>
        <w:t xml:space="preserve">Context: Academic Researcher in Kabul’s Unique Environment</w:t>
      </w:r>
    </w:p>
    <w:p>
      <w:pPr>
        <w:pStyle w:val="FirstParagraph"/>
      </w:pPr>
      <w:r>
        <w:t xml:space="preserve">The role of the Academic Researcher operating within Afghanistan Kabul is fundamentally different from conventional sales positions. Operating amid ongoing security complexities and resource constraints, this researcher serves as a catalyst for local intellectual growth rather than pursuing transactional revenue. The primary "product" being "sold" is not a physical good but collaborative research frameworks, data-driven insights, and capacity-building workshops designed to meet Afghanistan's urgent developmental priorities. This approach aligns with UNESCO’s emphasis on knowledge sovereignty in post-conflict settings – a critical consideration for all operations in Kabul.</w:t>
      </w:r>
    </w:p>
    <w:bookmarkEnd w:id="21"/>
    <w:bookmarkStart w:id="22" w:name="Xfdaac089806a2ff410398a911344cd949e52802"/>
    <w:p>
      <w:pPr>
        <w:pStyle w:val="Heading2"/>
      </w:pPr>
      <w:r>
        <w:t xml:space="preserve">Key Impact Metrics: Measuring Academic "Sales"</w:t>
      </w:r>
    </w:p>
    <w:p>
      <w:pPr>
        <w:pStyle w:val="FirstParagraph"/>
      </w:pPr>
      <w:r>
        <w:t xml:space="preserve">Our Academic Researcher has achieved significant non-financial "sales" outcomes over the past 18 months, directly contributing to Kabul’s academic landscape:</w:t>
      </w:r>
    </w:p>
    <w:p>
      <w:pPr>
        <w:numPr>
          <w:ilvl w:val="0"/>
          <w:numId w:val="1001"/>
        </w:numPr>
        <w:pStyle w:val="Compact"/>
      </w:pPr>
      <w:r>
        <w:rPr>
          <w:bCs/>
          <w:b/>
        </w:rPr>
        <w:t xml:space="preserve">Stakeholder Engagement:</w:t>
      </w:r>
      <w:r>
        <w:t xml:space="preserve"> </w:t>
      </w:r>
      <w:r>
        <w:t xml:space="preserve">47 formal research partnerships established with Afghan governmental ministries (Ministry of Public Health, Ministry of Agriculture), NGOs (Aim for Peace Foundation), and local universities across Kabul. This represents a 230% increase in structured academic-government collaboration since 2021.</w:t>
      </w:r>
    </w:p>
    <w:p>
      <w:pPr>
        <w:numPr>
          <w:ilvl w:val="0"/>
          <w:numId w:val="1001"/>
        </w:numPr>
        <w:pStyle w:val="Compact"/>
      </w:pPr>
      <w:r>
        <w:rPr>
          <w:bCs/>
          <w:b/>
        </w:rPr>
        <w:t xml:space="preserve">Knowledge Transfer:</w:t>
      </w:r>
      <w:r>
        <w:t xml:space="preserve"> </w:t>
      </w:r>
      <w:r>
        <w:t xml:space="preserve">Developed and delivered 14 localized research methodologies training sessions for Kabul University faculty, focusing on practical data collection techniques suitable for resource-constrained environments. 85% of participants reported immediate application in ongoing projects.</w:t>
      </w:r>
    </w:p>
    <w:p>
      <w:pPr>
        <w:numPr>
          <w:ilvl w:val="0"/>
          <w:numId w:val="1001"/>
        </w:numPr>
        <w:pStyle w:val="Compact"/>
      </w:pPr>
      <w:r>
        <w:rPr>
          <w:bCs/>
          <w:b/>
        </w:rPr>
        <w:t xml:space="preserve">Research Output:</w:t>
      </w:r>
      <w:r>
        <w:t xml:space="preserve"> </w:t>
      </w:r>
      <w:r>
        <w:t xml:space="preserve">Co-authored 9 peer-reviewed studies published in regional journals (including the Kabul Journal of Development Studies), with 6 directly informing policy proposals at the Ministry level. Notably, a study on drought-resistant crops co-authored by Kabul University researchers led to a national agricultural pilot program.</w:t>
      </w:r>
    </w:p>
    <w:p>
      <w:pPr>
        <w:numPr>
          <w:ilvl w:val="0"/>
          <w:numId w:val="1001"/>
        </w:numPr>
        <w:pStyle w:val="Compact"/>
      </w:pPr>
      <w:r>
        <w:rPr>
          <w:bCs/>
          <w:b/>
        </w:rPr>
        <w:t xml:space="preserve">Sustainability Metrics:</w:t>
      </w:r>
      <w:r>
        <w:t xml:space="preserve"> </w:t>
      </w:r>
      <w:r>
        <w:t xml:space="preserve">Trained 120 Afghan research assistants and graduate students in ethical research practices. 37% of these individuals now lead independent small-scale studies within Kabul-based institutions, creating self-sustaining research capacity.</w:t>
      </w:r>
    </w:p>
    <w:bookmarkEnd w:id="22"/>
    <w:bookmarkStart w:id="23" w:name="X732f60cc30ad3e148cdf9c1b042d07e8ec5e49b"/>
    <w:p>
      <w:pPr>
        <w:pStyle w:val="Heading2"/>
      </w:pPr>
      <w:r>
        <w:t xml:space="preserve">Challenges and Adaptive Strategies: Navigating Kabul's Reality</w:t>
      </w:r>
    </w:p>
    <w:p>
      <w:pPr>
        <w:pStyle w:val="FirstParagraph"/>
      </w:pPr>
      <w:r>
        <w:t xml:space="preserve">Operating as an Academic Researcher in Afghanistan Kabul presents distinct challenges that necessitate a non-traditional "sales" strategy. Security constraints limit field access, requiring virtual collaboration tools. Cultural nuances demand relationship-building before formal engagement – a stark contrast to transactional sales models. Our researcher adapted by:</w:t>
      </w:r>
    </w:p>
    <w:p>
      <w:pPr>
        <w:numPr>
          <w:ilvl w:val="0"/>
          <w:numId w:val="1002"/>
        </w:numPr>
        <w:pStyle w:val="Compact"/>
      </w:pPr>
      <w:r>
        <w:t xml:space="preserve">Implementing secure remote research support systems during security restrictions (e.g., mobile data collection for women's health studies)</w:t>
      </w:r>
    </w:p>
    <w:p>
      <w:pPr>
        <w:numPr>
          <w:ilvl w:val="0"/>
          <w:numId w:val="1002"/>
        </w:numPr>
        <w:pStyle w:val="Compact"/>
      </w:pPr>
      <w:r>
        <w:t xml:space="preserve">Prioritizing co-creation with Afghan partners rather than imposing external frameworks, ensuring all projects address locally identified needs</w:t>
      </w:r>
    </w:p>
    <w:p>
      <w:pPr>
        <w:numPr>
          <w:ilvl w:val="0"/>
          <w:numId w:val="1002"/>
        </w:numPr>
        <w:pStyle w:val="Compact"/>
      </w:pPr>
      <w:r>
        <w:t xml:space="preserve">Focusing on "micro-sales" – securing small, high-impact research grants (e.g., $5k–$15k) to build trust before pursuing larger initiatives</w:t>
      </w:r>
    </w:p>
    <w:bookmarkEnd w:id="23"/>
    <w:bookmarkStart w:id="24" w:name="Xebbfb0ab23b3ba79decdb0de59f057f563740a0"/>
    <w:p>
      <w:pPr>
        <w:pStyle w:val="Heading2"/>
      </w:pPr>
      <w:r>
        <w:t xml:space="preserve">Case Study: The Kabul Water Security Project</w:t>
      </w:r>
    </w:p>
    <w:p>
      <w:pPr>
        <w:pStyle w:val="FirstParagraph"/>
      </w:pPr>
      <w:r>
        <w:t xml:space="preserve">This initiative exemplifies successful Academic Researcher "sales" in Kabul. Initially approached with skepticism by local water authorities, the researcher conducted preliminary stakeholder mapping across 3 Kabul districts. Through 12 community dialogues, they identified that existing water projects lacked gender-inclusive data collection – a gap directly impacting women's access to clean water.</w:t>
      </w:r>
    </w:p>
    <w:p>
      <w:pPr>
        <w:pStyle w:val="BodyText"/>
      </w:pPr>
      <w:r>
        <w:t xml:space="preserve">The Academic Researcher "sold" the concept of integrating gender-disaggregated data into the national water management framework by:</w:t>
      </w:r>
    </w:p>
    <w:p>
      <w:pPr>
        <w:numPr>
          <w:ilvl w:val="0"/>
          <w:numId w:val="1003"/>
        </w:numPr>
        <w:pStyle w:val="Compact"/>
      </w:pPr>
      <w:r>
        <w:t xml:space="preserve">Co-developing a simple mobile survey tool with Kabul University students</w:t>
      </w:r>
    </w:p>
    <w:p>
      <w:pPr>
        <w:numPr>
          <w:ilvl w:val="0"/>
          <w:numId w:val="1003"/>
        </w:numPr>
        <w:pStyle w:val="Compact"/>
      </w:pPr>
      <w:r>
        <w:t xml:space="preserve">Demonstrating immediate value through rapid field pilot (50 households) showing 68% higher women's water access when gender data was used</w:t>
      </w:r>
    </w:p>
    <w:p>
      <w:pPr>
        <w:numPr>
          <w:ilvl w:val="0"/>
          <w:numId w:val="1003"/>
        </w:numPr>
        <w:pStyle w:val="Compact"/>
      </w:pPr>
      <w:r>
        <w:t xml:space="preserve">Securing a $12,000 UNICEF grant for scaling, facilitated by the researcher's credibility established through prior work</w:t>
      </w:r>
    </w:p>
    <w:p>
      <w:pPr>
        <w:pStyle w:val="FirstParagraph"/>
      </w:pPr>
      <w:r>
        <w:t xml:space="preserve">This "sale" resulted in Kabul City Water Authority adopting the methodology – a tangible policy change directly traceable to academic research engagement.</w:t>
      </w:r>
    </w:p>
    <w:bookmarkEnd w:id="24"/>
    <w:bookmarkStart w:id="25" w:name="X0bbe6c04be4289187e6f6133c0eda68e0656b5c"/>
    <w:p>
      <w:pPr>
        <w:pStyle w:val="Heading2"/>
      </w:pPr>
      <w:r>
        <w:t xml:space="preserve">Future Roadmap: Scaling Academic Impact in Kabul</w:t>
      </w:r>
    </w:p>
    <w:p>
      <w:pPr>
        <w:pStyle w:val="FirstParagraph"/>
      </w:pPr>
      <w:r>
        <w:t xml:space="preserve">To maximize the "sales potential" of Academic Researcher work across Afghanistan Kabul, we propose:</w:t>
      </w:r>
    </w:p>
    <w:p>
      <w:pPr>
        <w:numPr>
          <w:ilvl w:val="0"/>
          <w:numId w:val="1004"/>
        </w:numPr>
        <w:pStyle w:val="Compact"/>
      </w:pPr>
      <w:r>
        <w:rPr>
          <w:bCs/>
          <w:b/>
        </w:rPr>
        <w:t xml:space="preserve">Establishing a Kabul Research Hub:</w:t>
      </w:r>
      <w:r>
        <w:t xml:space="preserve"> </w:t>
      </w:r>
      <w:r>
        <w:t xml:space="preserve">Creating a physical space at Kabul University for collaborative research management, reducing logistical barriers and enhancing local ownership.</w:t>
      </w:r>
    </w:p>
    <w:p>
      <w:pPr>
        <w:numPr>
          <w:ilvl w:val="0"/>
          <w:numId w:val="1004"/>
        </w:numPr>
        <w:pStyle w:val="Compact"/>
      </w:pPr>
      <w:r>
        <w:rPr>
          <w:bCs/>
          <w:b/>
        </w:rPr>
        <w:t xml:space="preserve">Developing Afghan-Authored Research Grants:</w:t>
      </w:r>
      <w:r>
        <w:t xml:space="preserve"> </w:t>
      </w:r>
      <w:r>
        <w:t xml:space="preserve">Launching funding programs managed by Afghans to support local researchers, directly increasing "sales" of homegrown knowledge solutions.</w:t>
      </w:r>
    </w:p>
    <w:p>
      <w:pPr>
        <w:numPr>
          <w:ilvl w:val="0"/>
          <w:numId w:val="1004"/>
        </w:numPr>
        <w:pStyle w:val="Compact"/>
      </w:pPr>
      <w:r>
        <w:rPr>
          <w:bCs/>
          <w:b/>
        </w:rPr>
        <w:t xml:space="preserve">Digital Knowledge Platform:</w:t>
      </w:r>
      <w:r>
        <w:t xml:space="preserve"> </w:t>
      </w:r>
      <w:r>
        <w:t xml:space="preserve">Building a Kabul-specific research repository accessible across Afghanistan to multiply the impact of each academic project.</w:t>
      </w:r>
    </w:p>
    <w:bookmarkEnd w:id="25"/>
    <w:bookmarkStart w:id="26" w:name="X2e6f3d9ea668eeacacc4caebe155ea0def68346"/>
    <w:p>
      <w:pPr>
        <w:pStyle w:val="Heading2"/>
      </w:pPr>
      <w:r>
        <w:t xml:space="preserve">Conclusion: Beyond Traditional Sales Metrics</w:t>
      </w:r>
    </w:p>
    <w:p>
      <w:pPr>
        <w:pStyle w:val="FirstParagraph"/>
      </w:pPr>
      <w:r>
        <w:t xml:space="preserve">This report confirms that the Academic Researcher role in Kabul functions as a critical knowledge brokerage "sale" – exchanging expertise for sustainable institutional growth. In Afghanistan's unique context, where trust and local relevance are paramount, our researcher has successfully converted academic rigor into actionable policy and practice. The metrics presented (partnerships formed, capacity built, policies influenced) demonstrate an impact that far exceeds conventional sales KPIs. Every training session delivered in Kabul University’s halls or every policy brief shared with the Ministry of Education represents a successful "sale" of research value to Afghanistan's development future. This model proves that in environments like Kabul, the most valuable "product" is not sold – it is built together through academic partnership.</w:t>
      </w:r>
    </w:p>
    <w:p>
      <w:pPr>
        <w:pStyle w:val="BodyText"/>
      </w:pPr>
      <w:r>
        <w:rPr>
          <w:bCs/>
          <w:b/>
        </w:rPr>
        <w:t xml:space="preserve">Disclaimer:</w:t>
      </w:r>
      <w:r>
        <w:t xml:space="preserve"> </w:t>
      </w:r>
      <w:r>
        <w:t xml:space="preserve">All activities conducted in accordance with UNESCO guidelines for ethical engagement in conflict-affected regions and Afghan national research protocols. Prioritized local leadership and contextual relevance at every stage of research design and implementation.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Impact in Kabul, Afghanistan</dc:title>
  <dc:creator/>
  <dc:language>en</dc:language>
  <cp:keywords/>
  <dcterms:created xsi:type="dcterms:W3CDTF">2026-07-24T11:49:57Z</dcterms:created>
  <dcterms:modified xsi:type="dcterms:W3CDTF">2026-07-24T11:49:57Z</dcterms:modified>
</cp:coreProperties>
</file>

<file path=docProps/custom.xml><?xml version="1.0" encoding="utf-8"?>
<Properties xmlns="http://schemas.openxmlformats.org/officeDocument/2006/custom-properties" xmlns:vt="http://schemas.openxmlformats.org/officeDocument/2006/docPropsVTypes"/>
</file>