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Insights</w:t>
      </w:r>
      <w:r>
        <w:t xml:space="preserve"> </w:t>
      </w:r>
      <w:r>
        <w:t xml:space="preserve">for</w:t>
      </w:r>
      <w:r>
        <w:t xml:space="preserve"> </w:t>
      </w:r>
      <w:r>
        <w:t xml:space="preserve">Argentina</w:t>
      </w:r>
      <w:r>
        <w:t xml:space="preserve"> </w:t>
      </w:r>
      <w:r>
        <w:t xml:space="preserve">Buenos</w:t>
      </w:r>
      <w:r>
        <w:t xml:space="preserve"> </w:t>
      </w:r>
      <w:r>
        <w:t xml:space="preserve">Aires</w:t>
      </w:r>
      <w:r>
        <w:t xml:space="preserve"> </w:t>
      </w:r>
      <w:r>
        <w:t xml:space="preserve">Market</w:t>
      </w:r>
    </w:p>
    <w:bookmarkStart w:id="27" w:name="Xc510c79d57f05c2485d0f513f2fc17f1ef746fb"/>
    <w:p>
      <w:pPr>
        <w:pStyle w:val="Heading1"/>
      </w:pPr>
      <w:r>
        <w:t xml:space="preserve">Sales Report: Strategic Market Analysis and Growth Opportunities for Academic Researcher-Driven Solutions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Team</w:t>
      </w:r>
      <w:r>
        <w:br/>
      </w:r>
      <w:r>
        <w:rPr>
          <w:bCs/>
          <w:b/>
        </w:rPr>
        <w:t xml:space="preserve">Prepared By:</w:t>
      </w:r>
      <w:r>
        <w:t xml:space="preserve"> </w:t>
      </w:r>
      <w:r>
        <w:t xml:space="preserve">International Market Research Division (Academic Researcher Focus)</w:t>
      </w:r>
    </w:p>
    <w:bookmarkStart w:id="20" w:name="i.-executive-summary"/>
    <w:p>
      <w:pPr>
        <w:pStyle w:val="Heading2"/>
      </w:pPr>
      <w:r>
        <w:t xml:space="preserve">I. Executive Summary</w:t>
      </w:r>
    </w:p>
    <w:p>
      <w:pPr>
        <w:pStyle w:val="FirstParagraph"/>
      </w:pPr>
      <w:r>
        <w:t xml:space="preserve">This Sales Report details the market positioning and growth trajectory of our academic research-optimized solutions within Argentina's Buenos Aires metropolitan area. As a leading provider of data-driven research tools, our recent academic researcher collaboration initiative has yielded exceptional results in Buenos Aires—surpassing regional sales targets by 37% in Q3 2023. The report confirms that tailored academic researcher engagement strategies directly correlate with market penetration success in Argentina's competitive knowledge economy, where universities and research institutions represent 68% of our target B2B segment. Crucially, this success stems from embedding Argentine academic insights into our sales methodology, not merely adapting global strategies.</w:t>
      </w:r>
    </w:p>
    <w:bookmarkEnd w:id="20"/>
    <w:bookmarkStart w:id="21" w:name="X10a272d31107978b435c0885229ef422d9485f0"/>
    <w:p>
      <w:pPr>
        <w:pStyle w:val="Heading2"/>
      </w:pPr>
      <w:r>
        <w:t xml:space="preserve">II. Buenos Aires Market Context: Where Academic Researcher Needs Meet Sales Opportunity</w:t>
      </w:r>
    </w:p>
    <w:p>
      <w:pPr>
        <w:pStyle w:val="FirstParagraph"/>
      </w:pPr>
      <w:r>
        <w:t xml:space="preserve">Buenos Aires remains Argentina's undisputed innovation hub, home to 47% of the nation's research institutions including Universidad de Buenos Aires (UBA), CONICET, and private think tanks. However, these entities face unique challenges: budget constraints from national science funding cuts (-12% in 2023), outdated institutional procurement systems, and a critical need for cost-effective collaborative research platforms. Our sales data reveals that</w:t>
      </w:r>
      <w:r>
        <w:t xml:space="preserve"> </w:t>
      </w:r>
      <w:r>
        <w:rPr>
          <w:iCs/>
          <w:i/>
        </w:rPr>
        <w:t xml:space="preserve">academic researchers themselves</w:t>
      </w:r>
      <w:r>
        <w:t xml:space="preserve"> </w:t>
      </w:r>
      <w:r>
        <w:t xml:space="preserve">are the primary decision-makers (74%) in technology purchases at these institutions—not IT departments—as they navigate grant requirements and publication pressures. This directly informs our revised sales approach in Argentina Buenos Aires.</w:t>
      </w:r>
    </w:p>
    <w:bookmarkEnd w:id="21"/>
    <w:bookmarkStart w:id="22" w:name="X750c1d09122fcbded1a4da4509d9ffc6fd3f9b6"/>
    <w:p>
      <w:pPr>
        <w:pStyle w:val="Heading2"/>
      </w:pPr>
      <w:r>
        <w:t xml:space="preserve">III. Methodology: Academic Researcher-Centric Sales Intelligence</w:t>
      </w:r>
    </w:p>
    <w:p>
      <w:pPr>
        <w:pStyle w:val="FirstParagraph"/>
      </w:pPr>
      <w:r>
        <w:t xml:space="preserve">This report is grounded in primary field research conducted by our on-site academic researcher team across 32 institutions in Buenos Aires (July–September 2023). We employed mixed-methods analysis including:</w:t>
      </w:r>
    </w:p>
    <w:p>
      <w:pPr>
        <w:numPr>
          <w:ilvl w:val="0"/>
          <w:numId w:val="1001"/>
        </w:numPr>
        <w:pStyle w:val="Compact"/>
      </w:pPr>
      <w:r>
        <w:rPr>
          <w:iCs/>
          <w:i/>
        </w:rPr>
        <w:t xml:space="preserve">Quantitative:</w:t>
      </w:r>
      <w:r>
        <w:t xml:space="preserve"> </w:t>
      </w:r>
      <w:r>
        <w:t xml:space="preserve">Survey of 187 academic researchers at key Buenos Aires institutions</w:t>
      </w:r>
    </w:p>
    <w:p>
      <w:pPr>
        <w:numPr>
          <w:ilvl w:val="0"/>
          <w:numId w:val="1001"/>
        </w:numPr>
        <w:pStyle w:val="Compact"/>
      </w:pPr>
      <w:r>
        <w:rPr>
          <w:iCs/>
          <w:i/>
        </w:rPr>
        <w:t xml:space="preserve">Qualitative:</w:t>
      </w:r>
      <w:r>
        <w:t xml:space="preserve"> </w:t>
      </w:r>
      <w:r>
        <w:t xml:space="preserve">In-depth interviews with 42 department heads and procurement officers</w:t>
      </w:r>
    </w:p>
    <w:p>
      <w:pPr>
        <w:numPr>
          <w:ilvl w:val="0"/>
          <w:numId w:val="1001"/>
        </w:numPr>
        <w:pStyle w:val="Compact"/>
      </w:pPr>
      <w:r>
        <w:rPr>
          <w:iCs/>
          <w:i/>
        </w:rPr>
        <w:t xml:space="preserve">Sales Data Integration:</w:t>
      </w:r>
      <w:r>
        <w:t xml:space="preserve"> </w:t>
      </w:r>
      <w:r>
        <w:t xml:space="preserve">Cross-referenced with our CRM for Buenos Aires regional performance (Jan–Sep 2023)</w:t>
      </w:r>
    </w:p>
    <w:p>
      <w:pPr>
        <w:pStyle w:val="FirstParagraph"/>
      </w:pPr>
      <w:r>
        <w:t xml:space="preserve">Critically, our methodology was designed *by* academic researchers *for* academic researcher markets. This ensured culturally resonant questions about grant reporting, publication timelines, and institutional politics—factors that conventional sales surveys often overlook. The data confirms that 89% of Buenos Aires researchers prioritize "time-to-impact" over price when evaluating research tools, a paradigm shift from global B2B norms.</w:t>
      </w:r>
    </w:p>
    <w:bookmarkEnd w:id="22"/>
    <w:bookmarkStart w:id="23" w:name="Xf453829cb2caaeaa4fc7faeca3df46b6e7629dc"/>
    <w:p>
      <w:pPr>
        <w:pStyle w:val="Heading2"/>
      </w:pPr>
      <w:r>
        <w:t xml:space="preserve">IV. Key Sales Performance Metrics: Argentina Buenos Aires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(Buenos Aires)</w:t>
            </w:r>
          </w:p>
        </w:tc>
        <w:tc>
          <w:tcPr/>
          <w:p>
            <w:pPr>
              <w:pStyle w:val="Compact"/>
              <w:jc w:val="left"/>
            </w:pPr>
            <w:r>
              <w:t xml:space="preserve">YTD Growth vs. 2022</w:t>
            </w:r>
          </w:p>
        </w:tc>
        <w:tc>
          <w:tcPr/>
          <w:p>
            <w:pPr>
              <w:pStyle w:val="Compact"/>
              <w:jc w:val="left"/>
            </w:pPr>
            <w:r>
              <w:t xml:space="preserve">Regional Benchmark (LatAm)</w:t>
            </w:r>
          </w:p>
        </w:tc>
      </w:tr>
      <w:tr>
        <w:tc>
          <w:tcPr/>
          <w:p>
            <w:pPr>
              <w:pStyle w:val="Compact"/>
              <w:jc w:val="left"/>
            </w:pPr>
            <w:r>
              <w:t xml:space="preserve">New Academic Researcher Contracts</w:t>
            </w:r>
          </w:p>
        </w:tc>
        <w:tc>
          <w:tcPr/>
          <w:p>
            <w:pPr>
              <w:pStyle w:val="Compact"/>
              <w:jc w:val="left"/>
            </w:pPr>
            <w:r>
              <w:t xml:space="preserve">47</w:t>
            </w:r>
          </w:p>
        </w:tc>
        <w:tc>
          <w:tcPr/>
          <w:p>
            <w:pPr>
              <w:pStyle w:val="Compact"/>
              <w:jc w:val="left"/>
            </w:pPr>
            <w:r>
              <w:t xml:space="preserve">+37%</w:t>
            </w:r>
          </w:p>
        </w:tc>
        <w:tc>
          <w:tcPr/>
          <w:p>
            <w:pPr>
              <w:pStyle w:val="Compact"/>
              <w:jc w:val="left"/>
            </w:pPr>
            <w:r>
              <w:t xml:space="preserve">+18%</w:t>
            </w:r>
          </w:p>
        </w:tc>
      </w:tr>
      <w:tr>
        <w:tc>
          <w:tcPr/>
          <w:p>
            <w:pPr>
              <w:pStyle w:val="Compact"/>
              <w:jc w:val="left"/>
            </w:pPr>
            <w:r>
              <w:t xml:space="preserve">Contract Value per Institution (USD)</w:t>
            </w:r>
          </w:p>
        </w:tc>
        <w:tc>
          <w:tcPr/>
          <w:p>
            <w:pPr>
              <w:pStyle w:val="Compact"/>
              <w:jc w:val="left"/>
            </w:pPr>
            <w:r>
              <w:t xml:space="preserve">$14,200</w:t>
            </w:r>
          </w:p>
        </w:tc>
        <w:tc>
          <w:tcPr/>
          <w:p>
            <w:pPr>
              <w:pStyle w:val="Compact"/>
              <w:jc w:val="left"/>
            </w:pPr>
            <w:r>
              <w:t xml:space="preserve">+29%</w:t>
            </w:r>
          </w:p>
        </w:tc>
        <w:tc>
          <w:tcPr/>
          <w:p>
            <w:pPr>
              <w:pStyle w:val="Compact"/>
              <w:jc w:val="left"/>
            </w:pPr>
            <w:r>
              <w:t xml:space="preserve">N/A</w:t>
            </w:r>
          </w:p>
        </w:tc>
      </w:tr>
      <w:tr>
        <w:tc>
          <w:tcPr/>
          <w:p>
            <w:pPr>
              <w:pStyle w:val="Compact"/>
              <w:jc w:val="left"/>
            </w:pPr>
            <w:r>
              <w:t xml:space="preserve">Researcher Retention Rate</w:t>
            </w:r>
          </w:p>
        </w:tc>
        <w:tc>
          <w:tcPr/>
          <w:p>
            <w:pPr>
              <w:pStyle w:val="Compact"/>
              <w:jc w:val="left"/>
            </w:pPr>
            <w:r>
              <w:t xml:space="preserve">86%</w:t>
            </w:r>
          </w:p>
        </w:tc>
        <w:tc>
          <w:tcPr/>
          <w:p>
            <w:pPr>
              <w:pStyle w:val="Compact"/>
              <w:jc w:val="left"/>
            </w:pPr>
            <w:r>
              <w:t xml:space="preserve">+15 pts.</w:t>
            </w:r>
          </w:p>
        </w:tc>
        <w:tc>
          <w:tcPr/>
          <w:p>
            <w:pPr>
              <w:pStyle w:val="Compact"/>
              <w:jc w:val="left"/>
            </w:pPr>
            <w:r>
              <w:t xml:space="preserve">72%</w:t>
            </w:r>
          </w:p>
        </w:tc>
      </w:tr>
    </w:tbl>
    <w:p>
      <w:pPr>
        <w:pStyle w:val="BodyText"/>
      </w:pPr>
      <w:r>
        <w:t xml:space="preserve">The 37% new contract growth in Buenos Aires (vs. 18% regional average) stems directly from our academic researcher-led sales process. Unlike generic sales teams, our local researchers—many with PhDs and publishing records at UBA or CONICET—conduct solution demos aligned with actual grant deadlines (e.g., showing how data tools accelerate NSF-equivalent Argentine project reports). This contextual fluency reduced average sales cycle by 22 days.</w:t>
      </w:r>
    </w:p>
    <w:bookmarkEnd w:id="23"/>
    <w:bookmarkStart w:id="24" w:name="Xe2f3c5ac14ff05c982c010a35ba6fc5ff3fda5b"/>
    <w:p>
      <w:pPr>
        <w:pStyle w:val="Heading2"/>
      </w:pPr>
      <w:r>
        <w:t xml:space="preserve">V. Academic Researcher-Driven Sales Insights: Buenos Aires Specifics</w:t>
      </w:r>
    </w:p>
    <w:p>
      <w:pPr>
        <w:pStyle w:val="FirstParagraph"/>
      </w:pPr>
      <w:r>
        <w:t xml:space="preserve">Our research team identified three non-negotiable factors for success in Argentina Buenos Aires:</w:t>
      </w:r>
    </w:p>
    <w:p>
      <w:pPr>
        <w:numPr>
          <w:ilvl w:val="0"/>
          <w:numId w:val="1002"/>
        </w:numPr>
        <w:pStyle w:val="Compact"/>
      </w:pPr>
      <w:r>
        <w:rPr>
          <w:bCs/>
          <w:b/>
        </w:rPr>
        <w:t xml:space="preserve">Cultural Nuance Integration:</w:t>
      </w:r>
      <w:r>
        <w:t xml:space="preserve"> </w:t>
      </w:r>
      <w:r>
        <w:t xml:space="preserve">Argentine academia values "relación" (personal relationship) over transactional engagement. Our sales process now requires researchers to co-host virtual coffee chats with potential clients *before* demos—matching local networking norms. This increased conversion rates by 27%.</w:t>
      </w:r>
    </w:p>
    <w:p>
      <w:pPr>
        <w:numPr>
          <w:ilvl w:val="0"/>
          <w:numId w:val="1002"/>
        </w:numPr>
        <w:pStyle w:val="Compact"/>
      </w:pPr>
      <w:r>
        <w:rPr>
          <w:bCs/>
          <w:b/>
        </w:rPr>
        <w:t xml:space="preserve">Grant Alignment:</w:t>
      </w:r>
      <w:r>
        <w:t xml:space="preserve"> </w:t>
      </w:r>
      <w:r>
        <w:t xml:space="preserve">Buenos Aires researchers cited "funding mismatch" as their #1 barrier (63% survey response). We now embed grant-writing templates for Argentina's ANPCyT and CONICET in our sales kit, directly addressing this pain point. 78% of new contracts reference these materials during onboarding.</w:t>
      </w:r>
    </w:p>
    <w:p>
      <w:pPr>
        <w:numPr>
          <w:ilvl w:val="0"/>
          <w:numId w:val="1002"/>
        </w:numPr>
        <w:pStyle w:val="Compact"/>
      </w:pPr>
      <w:r>
        <w:rPr>
          <w:bCs/>
          <w:b/>
        </w:rPr>
        <w:t xml:space="preserve">Post-Sales Academic Support:</w:t>
      </w:r>
      <w:r>
        <w:t xml:space="preserve"> </w:t>
      </w:r>
      <w:r>
        <w:t xml:space="preserve">Unlike standard tech sales, we provide dedicated research consultants (PhDs) for troubleshooting—critical because 59% of Buenos Aires researchers lack internal IT support. This reduced churn by 31%.</w:t>
      </w:r>
    </w:p>
    <w:bookmarkEnd w:id="24"/>
    <w:bookmarkStart w:id="25" w:name="X874eb3003652e2f54a58ab700a5ab3ea7117b1a"/>
    <w:p>
      <w:pPr>
        <w:pStyle w:val="Heading2"/>
      </w:pPr>
      <w:r>
        <w:t xml:space="preserve">VI. Strategic Recommendations for Argentina Buenos Aires Sales Growth</w:t>
      </w:r>
    </w:p>
    <w:p>
      <w:pPr>
        <w:pStyle w:val="FirstParagraph"/>
      </w:pPr>
      <w:r>
        <w:t xml:space="preserve">Based on academic researcher insights, we recommend:</w:t>
      </w:r>
    </w:p>
    <w:p>
      <w:pPr>
        <w:numPr>
          <w:ilvl w:val="0"/>
          <w:numId w:val="1003"/>
        </w:numPr>
        <w:pStyle w:val="Compact"/>
      </w:pPr>
      <w:r>
        <w:rPr>
          <w:bCs/>
          <w:b/>
        </w:rPr>
        <w:t xml:space="preserve">Establish a Local Researcher Advisory Board:</w:t>
      </w:r>
      <w:r>
        <w:t xml:space="preserve"> </w:t>
      </w:r>
      <w:r>
        <w:t xml:space="preserve">Recruit 8–10 senior CONICET researchers from Buenos Aires to co-design sales materials quarterly. This builds trust and ensures cultural relevance (projected impact: +25% contract value).</w:t>
      </w:r>
    </w:p>
    <w:p>
      <w:pPr>
        <w:numPr>
          <w:ilvl w:val="0"/>
          <w:numId w:val="1003"/>
        </w:numPr>
        <w:pStyle w:val="Compact"/>
      </w:pPr>
      <w:r>
        <w:rPr>
          <w:bCs/>
          <w:b/>
        </w:rPr>
        <w:t xml:space="preserve">Develop Argentina-Specific Grant Modules:</w:t>
      </w:r>
      <w:r>
        <w:t xml:space="preserve"> </w:t>
      </w:r>
      <w:r>
        <w:t xml:space="preserve">Partner with UBA's Research Office to create bilingual (Spanish/English) grant support tools aligned with Argentina's funding cycles—critical for our 43% of prospective clients working on ANPCyT deadlines.</w:t>
      </w:r>
    </w:p>
    <w:p>
      <w:pPr>
        <w:numPr>
          <w:ilvl w:val="0"/>
          <w:numId w:val="1003"/>
        </w:numPr>
        <w:pStyle w:val="Compact"/>
      </w:pPr>
      <w:r>
        <w:rPr>
          <w:bCs/>
          <w:b/>
        </w:rPr>
        <w:t xml:space="preserve">Sales Team Localization:</w:t>
      </w:r>
      <w:r>
        <w:t xml:space="preserve"> </w:t>
      </w:r>
      <w:r>
        <w:t xml:space="preserve">Train all Buenos Aires sales personnel in academic researcher psychology, including Argentine research ethics frameworks. Current team has 100% completion of this certification (vs. 62% industry average).</w:t>
      </w:r>
    </w:p>
    <w:bookmarkEnd w:id="25"/>
    <w:bookmarkStart w:id="26" w:name="X4da3e02b71b71cf6f9ccbda343c044dbdaff378"/>
    <w:p>
      <w:pPr>
        <w:pStyle w:val="Heading2"/>
      </w:pPr>
      <w:r>
        <w:t xml:space="preserve">VII. Conclusion: The Academic Researcher as Sales Catalyst</w:t>
      </w:r>
    </w:p>
    <w:p>
      <w:pPr>
        <w:pStyle w:val="FirstParagraph"/>
      </w:pPr>
      <w:r>
        <w:t xml:space="preserve">This report underscores a transformative insight: in Argentina Buenos Aires, the academic researcher is not just a customer—it's our most potent sales asset. By embedding researchers into our commercial process, we've shifted from selling tools to enabling research impact. Our Q3 results prove this model generates sustainable growth where conventional sales strategies fail. As one CONICET department head noted during an interview: "You don't sell software—you help us publish." This sentiment now drives every Buenos Aires sales interaction.</w:t>
      </w:r>
    </w:p>
    <w:p>
      <w:pPr>
        <w:pStyle w:val="BodyText"/>
      </w:pPr>
      <w:r>
        <w:t xml:space="preserve">With Argentina's national research funding poised to rebound (projected +9% in 2024), our researcher-centric approach positions us for dominant market share. We recommend full-scale implementation of these strategies across all Argentina operations, with Buenos Aires as the blueprint. The data is unequivocal: when sales processes are designed *by* academic researchers *for* academic researchers, success in Argentina's knowledge economy becomes inevitable.</w:t>
      </w:r>
    </w:p>
    <w:p>
      <w:pPr>
        <w:pStyle w:val="BodyText"/>
      </w:pPr>
      <w:r>
        <w:rPr>
          <w:bCs/>
          <w:b/>
        </w:rPr>
        <w:t xml:space="preserve">Prepared By:</w:t>
      </w:r>
      <w:r>
        <w:t xml:space="preserve"> </w:t>
      </w:r>
      <w:r>
        <w:t xml:space="preserve">Dr. Elena Rodriguez, Senior Research Economist (Academic Researcher Team)</w:t>
      </w:r>
      <w:r>
        <w:br/>
      </w:r>
      <w:r>
        <w:rPr>
          <w:iCs/>
          <w:i/>
        </w:rPr>
        <w:t xml:space="preserve">Specializing in Latin American Knowledge Economy Sales Dynamics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Insights for Argentina Buenos Aires Market</dc:title>
  <dc:creator/>
  <dc:language>en</dc:language>
  <cp:keywords/>
  <dcterms:created xsi:type="dcterms:W3CDTF">2026-07-24T07:17:50Z</dcterms:created>
  <dcterms:modified xsi:type="dcterms:W3CDTF">2026-07-24T07:17:50Z</dcterms:modified>
</cp:coreProperties>
</file>

<file path=docProps/custom.xml><?xml version="1.0" encoding="utf-8"?>
<Properties xmlns="http://schemas.openxmlformats.org/officeDocument/2006/custom-properties" xmlns:vt="http://schemas.openxmlformats.org/officeDocument/2006/docPropsVTypes"/>
</file>