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Recruitment</w:t>
      </w:r>
      <w:r>
        <w:t xml:space="preserve"> </w:t>
      </w:r>
      <w:r>
        <w:t xml:space="preserve">Sales</w:t>
      </w:r>
      <w:r>
        <w:t xml:space="preserve"> </w:t>
      </w:r>
      <w:r>
        <w:t xml:space="preserve">Report:</w:t>
      </w:r>
      <w:r>
        <w:t xml:space="preserve"> </w:t>
      </w:r>
      <w:r>
        <w:t xml:space="preserve">Argentina</w:t>
      </w:r>
      <w:r>
        <w:t xml:space="preserve"> </w:t>
      </w:r>
      <w:r>
        <w:t xml:space="preserve">Córdoba</w:t>
      </w:r>
      <w:r>
        <w:t xml:space="preserve"> </w:t>
      </w:r>
      <w:r>
        <w:t xml:space="preserve">Market</w:t>
      </w:r>
      <w:r>
        <w:t xml:space="preserve"> </w:t>
      </w:r>
      <w:r>
        <w:t xml:space="preserve">Analysis</w:t>
      </w:r>
    </w:p>
    <w:bookmarkStart w:id="29" w:name="X4b4dcfe3ea3f2accdfc563cc8adccacbd69b2a3"/>
    <w:p>
      <w:pPr>
        <w:pStyle w:val="Heading1"/>
      </w:pPr>
      <w:r>
        <w:t xml:space="preserve">Academic Researcher Recruitment Sales Report: Argentina Córdoba Market Analysis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Universidad Nacional de Córdoba (UNC) &amp; CONICET Leadership |</w:t>
      </w:r>
      <w:r>
        <w:t xml:space="preserve"> </w:t>
      </w:r>
      <w:r>
        <w:rPr>
          <w:bCs/>
          <w:b/>
        </w:rPr>
        <w:t xml:space="preserve">Report Type:</w:t>
      </w:r>
      <w:r>
        <w:t xml:space="preserve"> </w:t>
      </w:r>
      <w:r>
        <w:t xml:space="preserve">Strategic Talent Acquisition Performance Summary</w:t>
      </w:r>
    </w:p>
    <w:bookmarkStart w:id="20" w:name="X4f134f26fdfaa786799d9586fd19879148b1e6f"/>
    <w:p>
      <w:pPr>
        <w:pStyle w:val="Heading2"/>
      </w:pPr>
      <w:r>
        <w:t xml:space="preserve">I. Executive Summary: The Strategic Imperative for Academic Researcher Recruitment in Argentina Córdoba</w:t>
      </w:r>
    </w:p>
    <w:p>
      <w:pPr>
        <w:pStyle w:val="FirstParagraph"/>
      </w:pPr>
      <w:r>
        <w:t xml:space="preserve">This report details the performance and strategic outlook of our targeted recruitment campaign for high-impact Academic Researcher positions within Argentina Córdoba’s premier research ecosystem. As the second-largest academic hub in Argentina, Córdoba serves as a critical nexus for scientific innovation, with its universities and CONICET centers driving national R&amp;D objectives. Our sales-focused talent acquisition strategy—repositioning recruitment as a strategic "product" to attract top-tier researchers—achieved a 32% year-on-year increase in qualified Academic Researcher applications during Q3 2023. This growth directly supports Córdoba’s position as Argentina’s leading destination for STEM and social sciences research, aligning with national priorities outlined in the 2021-2030 Scientific and Technological Development Plan.</w:t>
      </w:r>
    </w:p>
    <w:p>
      <w:pPr>
        <w:pStyle w:val="BodyText"/>
      </w:pPr>
      <w:r>
        <w:rPr>
          <w:bCs/>
          <w:b/>
        </w:rPr>
        <w:t xml:space="preserve">Key Achievement:</w:t>
      </w:r>
      <w:r>
        <w:t xml:space="preserve"> </w:t>
      </w:r>
      <w:r>
        <w:t xml:space="preserve">Secured 47 Academic Researcher candidates (38% international, 62% national) for strategic roles across UNC’s Faculties of Engineering, Exact Sciences, and Health Sciences—exceeding target by 19%. These appointments directly support Córdoba's research output growth, contributing to Argentina’s rank of #4 in Latin American scientific publications (Scimago 2023).</w:t>
      </w:r>
    </w:p>
    <w:bookmarkEnd w:id="20"/>
    <w:bookmarkStart w:id="21" w:name="X7c76a8d446aacf1addbb6e2716c4bd32404efc4"/>
    <w:p>
      <w:pPr>
        <w:pStyle w:val="Heading2"/>
      </w:pPr>
      <w:r>
        <w:t xml:space="preserve">II. Market Context: Why Argentina Córdoba is a Prime Territory for Academic Researcher Talent</w:t>
      </w:r>
    </w:p>
    <w:p>
      <w:pPr>
        <w:pStyle w:val="FirstParagraph"/>
      </w:pPr>
      <w:r>
        <w:t xml:space="preserve">Argentina Córdoba possesses a uniquely fertile environment for academic recruitment, driven by three pillars:</w:t>
      </w:r>
    </w:p>
    <w:p>
      <w:pPr>
        <w:numPr>
          <w:ilvl w:val="0"/>
          <w:numId w:val="1001"/>
        </w:numPr>
        <w:pStyle w:val="Compact"/>
      </w:pPr>
      <w:r>
        <w:rPr>
          <w:bCs/>
          <w:b/>
        </w:rPr>
        <w:t xml:space="preserve">Infrastructure Investment:</w:t>
      </w:r>
      <w:r>
        <w:t xml:space="preserve"> </w:t>
      </w:r>
      <w:r>
        <w:t xml:space="preserve">UNC’s $185M Campus of Advanced Technology (CET) expansion—funded through national and provincial initiatives—creates world-class facilities for Academic Researcher teams in biotechnology, AI, and renewable energy.</w:t>
      </w:r>
    </w:p>
    <w:p>
      <w:pPr>
        <w:numPr>
          <w:ilvl w:val="0"/>
          <w:numId w:val="1001"/>
        </w:numPr>
        <w:pStyle w:val="Compact"/>
      </w:pPr>
      <w:r>
        <w:rPr>
          <w:bCs/>
          <w:b/>
        </w:rPr>
        <w:t xml:space="preserve">Concentrated Research Ecosystem:</w:t>
      </w:r>
      <w:r>
        <w:t xml:space="preserve"> </w:t>
      </w:r>
      <w:r>
        <w:t xml:space="preserve">Córdoba hosts 24% of Argentina’s CONICET research centers (e.g., Center for Biotechnology, Center for Advanced Materials), generating a critical mass of collaborative opportunities that appeal to Academic Researchers seeking interdisciplinary impact.</w:t>
      </w:r>
    </w:p>
    <w:p>
      <w:pPr>
        <w:numPr>
          <w:ilvl w:val="0"/>
          <w:numId w:val="1001"/>
        </w:numPr>
        <w:pStyle w:val="Compact"/>
      </w:pPr>
      <w:r>
        <w:rPr>
          <w:bCs/>
          <w:b/>
        </w:rPr>
        <w:t xml:space="preserve">Cost-Effectiveness &amp; Quality of Life:</w:t>
      </w:r>
      <w:r>
        <w:t xml:space="preserve"> </w:t>
      </w:r>
      <w:r>
        <w:t xml:space="preserve">Salaries for Academic Researchers in Córdoba remain 22% below Buenos Aires but with significantly higher quality-of-life metrics (lower crime rates, urban accessibility, and cultural vibrancy), positioning it as a sustainable career destination.</w:t>
      </w:r>
    </w:p>
    <w:bookmarkEnd w:id="21"/>
    <w:bookmarkStart w:id="24" w:name="Xe86aa42e0849f3a2612f711faba1605fd2d9b9e"/>
    <w:p>
      <w:pPr>
        <w:pStyle w:val="Heading2"/>
      </w:pPr>
      <w:r>
        <w:t xml:space="preserve">III. Sales Strategy: Positioning the Academic Researcher Opportunity as a Premium "Product"</w:t>
      </w:r>
    </w:p>
    <w:p>
      <w:pPr>
        <w:pStyle w:val="FirstParagraph"/>
      </w:pPr>
      <w:r>
        <w:t xml:space="preserve">Our recruitment campaign adopted sales methodologies tailored to researcher motivations:</w:t>
      </w:r>
    </w:p>
    <w:bookmarkStart w:id="22" w:name="a.-value-proposition-development"/>
    <w:p>
      <w:pPr>
        <w:pStyle w:val="Heading3"/>
      </w:pPr>
      <w:r>
        <w:t xml:space="preserve">A. Value Proposition Development</w:t>
      </w:r>
    </w:p>
    <w:p>
      <w:pPr>
        <w:pStyle w:val="FirstParagraph"/>
      </w:pPr>
      <w:r>
        <w:t xml:space="preserve">We mapped researcher priorities (funding stability, infrastructure access, publication support) into a compelling narrative: "</w:t>
      </w:r>
      <w:r>
        <w:rPr>
          <w:iCs/>
          <w:i/>
        </w:rPr>
        <w:t xml:space="preserve">Your Research in Córdoba: Where Argentina’s Innovation Ecosystem Meets Global Impact</w:t>
      </w:r>
      <w:r>
        <w:t xml:space="preserve">". This emphasized how roles directly leverage Córdoba’s assets:</w:t>
      </w:r>
    </w:p>
    <w:p>
      <w:pPr>
        <w:numPr>
          <w:ilvl w:val="0"/>
          <w:numId w:val="1002"/>
        </w:numPr>
        <w:pStyle w:val="Compact"/>
      </w:pPr>
      <w:r>
        <w:t xml:space="preserve">Access to CONICET funding pools (52% of funded projects in Argentina)</w:t>
      </w:r>
    </w:p>
    <w:p>
      <w:pPr>
        <w:numPr>
          <w:ilvl w:val="0"/>
          <w:numId w:val="1002"/>
        </w:numPr>
        <w:pStyle w:val="Compact"/>
      </w:pPr>
      <w:r>
        <w:t xml:space="preserve">Partnerships with local industries (e.g., Toyota Argentina, YPF) for applied research</w:t>
      </w:r>
    </w:p>
    <w:p>
      <w:pPr>
        <w:numPr>
          <w:ilvl w:val="0"/>
          <w:numId w:val="1002"/>
        </w:numPr>
        <w:pStyle w:val="Compact"/>
      </w:pPr>
      <w:r>
        <w:t xml:space="preserve">Córdoba’s 4th-ranked global position for academic-industry collaboration (Nature Index 2023)</w:t>
      </w:r>
    </w:p>
    <w:bookmarkEnd w:id="22"/>
    <w:bookmarkStart w:id="23" w:name="b.-targeted-sales-channels"/>
    <w:p>
      <w:pPr>
        <w:pStyle w:val="Heading3"/>
      </w:pPr>
      <w:r>
        <w:t xml:space="preserve">B. Targeted "Sales" Channels</w:t>
      </w:r>
    </w:p>
    <w:p>
      <w:pPr>
        <w:pStyle w:val="FirstParagraph"/>
      </w:pPr>
      <w:r>
        <w:t xml:space="preserve">Reframing recruitment as a sales process, we deployed:</w:t>
      </w:r>
    </w:p>
    <w:p>
      <w:pPr>
        <w:numPr>
          <w:ilvl w:val="0"/>
          <w:numId w:val="1003"/>
        </w:numPr>
        <w:pStyle w:val="Compact"/>
      </w:pPr>
      <w:r>
        <w:rPr>
          <w:bCs/>
          <w:b/>
        </w:rPr>
        <w:t xml:space="preserve">Geo-Targeted Digital Campaigns:</w:t>
      </w:r>
      <w:r>
        <w:t xml:space="preserve"> </w:t>
      </w:r>
      <w:r>
        <w:t xml:space="preserve">LinkedIn ads focused on academic hubs in Buenos Aires, Santiago de Chile, and European STEM clusters (e.g., Munich), emphasizing Córdoba’s climate and research incentives.</w:t>
      </w:r>
    </w:p>
    <w:p>
      <w:pPr>
        <w:numPr>
          <w:ilvl w:val="0"/>
          <w:numId w:val="1003"/>
        </w:numPr>
        <w:pStyle w:val="Compact"/>
      </w:pPr>
      <w:r>
        <w:rPr>
          <w:bCs/>
          <w:b/>
        </w:rPr>
        <w:t xml:space="preserve">Strategic "Demo Days":</w:t>
      </w:r>
      <w:r>
        <w:t xml:space="preserve"> </w:t>
      </w:r>
      <w:r>
        <w:t xml:space="preserve">Virtual tours of UNC’s CET facility for shortlisted candidates, hosted by current Academic Researchers—reducing perceived risk in relocation decisions.</w:t>
      </w:r>
    </w:p>
    <w:p>
      <w:pPr>
        <w:numPr>
          <w:ilvl w:val="0"/>
          <w:numId w:val="1003"/>
        </w:numPr>
        <w:pStyle w:val="Compact"/>
      </w:pPr>
      <w:r>
        <w:rPr>
          <w:bCs/>
          <w:b/>
        </w:rPr>
        <w:t xml:space="preserve">Concierge Recruitment:</w:t>
      </w:r>
      <w:r>
        <w:t xml:space="preserve"> </w:t>
      </w:r>
      <w:r>
        <w:t xml:space="preserve">Dedicated advisor for each candidate handling visa logistics (critical for international Academic Researchers), mirroring high-touch sales service models.</w:t>
      </w:r>
    </w:p>
    <w:bookmarkEnd w:id="23"/>
    <w:bookmarkEnd w:id="24"/>
    <w:bookmarkStart w:id="25" w:name="X083cbfdbcbdc43008968f7ed5edda22198f32e6"/>
    <w:p>
      <w:pPr>
        <w:pStyle w:val="Heading2"/>
      </w:pPr>
      <w:r>
        <w:t xml:space="preserve">IV. Performance Metrics: Quantifying the "Sale" of Argentina Córdoba</w:t>
      </w:r>
    </w:p>
    <w:p>
      <w:pPr>
        <w:pStyle w:val="FirstParagraph"/>
      </w:pPr>
      <w:r>
        <w:t xml:space="preserve">The campaign’s success was measured using sales KPIs adapted to academic recruitment:</w:t>
      </w:r>
    </w:p>
    <w:p>
      <w:pPr>
        <w:pStyle w:val="BodyText"/>
      </w:pPr>
      <w:r>
        <w:t xml:space="preserve">Performance Metric</w:t>
      </w:r>
    </w:p>
    <w:p>
      <w:pPr>
        <w:pStyle w:val="BodyText"/>
      </w:pPr>
      <w:r>
        <w:t xml:space="preserve">Q3 2022</w:t>
      </w:r>
    </w:p>
    <w:p>
      <w:pPr>
        <w:pStyle w:val="BodyText"/>
      </w:pPr>
      <w:r>
        <w:t xml:space="preserve">Q3 2023 (Current)</w:t>
      </w:r>
    </w:p>
    <w:p>
      <w:pPr>
        <w:pStyle w:val="BodyText"/>
      </w:pPr>
      <w:r>
        <w:t xml:space="preserve">% Growth</w:t>
      </w:r>
    </w:p>
    <w:p>
      <w:pPr>
        <w:pStyle w:val="BodyText"/>
      </w:pPr>
      <w:r>
        <w:t xml:space="preserve">Candidate Applications per Role</w:t>
      </w:r>
    </w:p>
    <w:p>
      <w:pPr>
        <w:pStyle w:val="BodyText"/>
      </w:pPr>
      <w:r>
        <w:t xml:space="preserve">18.7</w:t>
      </w:r>
    </w:p>
    <w:p>
      <w:pPr>
        <w:pStyle w:val="BodyText"/>
      </w:pPr>
      <w:r>
        <w:t xml:space="preserve">24.5</w:t>
      </w:r>
    </w:p>
    <w:p>
      <w:pPr>
        <w:pStyle w:val="BodyText"/>
      </w:pPr>
      <w:r>
        <w:t xml:space="preserve">+31.0%</w:t>
      </w:r>
    </w:p>
    <w:p>
      <w:pPr>
        <w:pStyle w:val="BodyText"/>
      </w:pPr>
      <w:r>
        <w:t xml:space="preserve">International Candidate Conversion Rate</w:t>
      </w:r>
    </w:p>
    <w:p>
      <w:pPr>
        <w:pStyle w:val="BodyText"/>
      </w:pPr>
      <w:r>
        <w:t xml:space="preserve">28%&lt; td &gt; 43% &lt; td &gt; +53.6%</w:t>
      </w:r>
    </w:p>
    <w:p>
      <w:pPr>
        <w:pStyle w:val="BodyText"/>
      </w:pPr>
      <w:r>
        <w:t xml:space="preserve">Average Time-to-Hire (Days)</w:t>
      </w:r>
    </w:p>
    <w:p>
      <w:pPr>
        <w:pStyle w:val="BodyText"/>
      </w:pPr>
      <w:r>
        <w:t xml:space="preserve">68</w:t>
      </w:r>
    </w:p>
    <w:p>
      <w:pPr>
        <w:pStyle w:val="BodyText"/>
      </w:pPr>
      <w:r>
        <w:t xml:space="preserve">49</w:t>
      </w:r>
    </w:p>
    <w:p>
      <w:pPr>
        <w:pStyle w:val="BodyText"/>
      </w:pPr>
      <w:r>
        <w:t xml:space="preserve">-28.1%</w:t>
      </w:r>
    </w:p>
    <w:p>
      <w:pPr>
        <w:pStyle w:val="BodyText"/>
      </w:pPr>
      <w:r>
        <w:t xml:space="preserve">Candidate Satisfaction (NPS)</w:t>
      </w:r>
    </w:p>
    <w:p>
      <w:pPr>
        <w:pStyle w:val="BodyText"/>
      </w:pPr>
      <w:r>
        <w:t xml:space="preserve">72&lt; td &gt; 85 &lt; td &gt; +13</w:t>
      </w:r>
    </w:p>
    <w:p>
      <w:pPr>
        <w:pStyle w:val="BodyText"/>
      </w:pPr>
      <w:r>
        <w:t xml:space="preserve">Crucially, 92% of hired Academic Researchers cited "Córdoba’s research infrastructure" and "collaborative culture" as top decision drivers—validating our market positioning. Notably, 17 new faculty members from Germany, Brazil, and Chile have joined Córdoba-based teams since August 2023, directly boosting Argentina’s global research reputation.</w:t>
      </w:r>
    </w:p>
    <w:bookmarkEnd w:id="25"/>
    <w:bookmarkStart w:id="26" w:name="Xc739e5e98550decf395eef445b70e136514ca77"/>
    <w:p>
      <w:pPr>
        <w:pStyle w:val="Heading2"/>
      </w:pPr>
      <w:r>
        <w:t xml:space="preserve">V. Challenges &amp; Strategic Adjustments in Argentina Córdoba</w:t>
      </w:r>
    </w:p>
    <w:p>
      <w:pPr>
        <w:pStyle w:val="FirstParagraph"/>
      </w:pPr>
      <w:r>
        <w:t xml:space="preserve">Despite strong performance, two challenges required agile "sales" responses:</w:t>
      </w:r>
    </w:p>
    <w:p>
      <w:pPr>
        <w:numPr>
          <w:ilvl w:val="0"/>
          <w:numId w:val="1004"/>
        </w:numPr>
        <w:pStyle w:val="Compact"/>
      </w:pPr>
      <w:r>
        <w:rPr>
          <w:bCs/>
          <w:b/>
        </w:rPr>
        <w:t xml:space="preserve">Competitive Funding Environment:</w:t>
      </w:r>
      <w:r>
        <w:t xml:space="preserve"> </w:t>
      </w:r>
      <w:r>
        <w:t xml:space="preserve">To counter Buenos Aires’ higher salaries, we partnered with provincial government to offer "Córdoba Research Grants" (averaging $15k USD/year), positioning this as a premium value-add—similar to sales bundling.</w:t>
      </w:r>
    </w:p>
    <w:p>
      <w:pPr>
        <w:numPr>
          <w:ilvl w:val="0"/>
          <w:numId w:val="1004"/>
        </w:numPr>
        <w:pStyle w:val="Compact"/>
      </w:pPr>
      <w:r>
        <w:rPr>
          <w:bCs/>
          <w:b/>
        </w:rPr>
        <w:t xml:space="preserve">Cultural Onboarding:</w:t>
      </w:r>
      <w:r>
        <w:t xml:space="preserve"> </w:t>
      </w:r>
      <w:r>
        <w:t xml:space="preserve">International Academic Researchers faced slow integration. We launched "Córdoba Research Immersion" workshops (financially supported by UNC), reducing early attrition by 37% and improving team cohesion metrics.</w:t>
      </w:r>
    </w:p>
    <w:bookmarkEnd w:id="26"/>
    <w:bookmarkStart w:id="27" w:name="X6cee59bd264e50f25a08ddb9cef8ef1b3fa1682"/>
    <w:p>
      <w:pPr>
        <w:pStyle w:val="Heading2"/>
      </w:pPr>
      <w:r>
        <w:t xml:space="preserve">VI. Future Outlook: Scaling the Academic Researcher Sales Pipeline in Argentina Córdoba</w:t>
      </w:r>
    </w:p>
    <w:p>
      <w:pPr>
        <w:pStyle w:val="FirstParagraph"/>
      </w:pPr>
      <w:r>
        <w:t xml:space="preserve">With Córdoba’s research ecosystem projected to grow 18% annually through 2025 (per INDEC data), our strategy must evolve to maintain market leadership:</w:t>
      </w:r>
    </w:p>
    <w:p>
      <w:pPr>
        <w:numPr>
          <w:ilvl w:val="0"/>
          <w:numId w:val="1005"/>
        </w:numPr>
        <w:pStyle w:val="Compact"/>
      </w:pPr>
      <w:r>
        <w:rPr>
          <w:bCs/>
          <w:b/>
        </w:rPr>
        <w:t xml:space="preserve">Expand "Sales" Partnerships:</w:t>
      </w:r>
      <w:r>
        <w:t xml:space="preserve"> </w:t>
      </w:r>
      <w:r>
        <w:t xml:space="preserve">Deepen collaborations with Argentine science ministries (SECyT) and local industry leaders like Tech4Córdoba to co-fund researcher positions.</w:t>
      </w:r>
    </w:p>
    <w:p>
      <w:pPr>
        <w:numPr>
          <w:ilvl w:val="0"/>
          <w:numId w:val="1005"/>
        </w:numPr>
        <w:pStyle w:val="Compact"/>
      </w:pPr>
      <w:r>
        <w:rPr>
          <w:bCs/>
          <w:b/>
        </w:rPr>
        <w:t xml:space="preserve">Leverage Alumni Networks:</w:t>
      </w:r>
      <w:r>
        <w:t xml:space="preserve"> </w:t>
      </w:r>
      <w:r>
        <w:t xml:space="preserve">Convert past Academic Researcher hires into "brand ambassadors" for campus recruitment—mirroring referral sales programs.</w:t>
      </w:r>
    </w:p>
    <w:p>
      <w:pPr>
        <w:numPr>
          <w:ilvl w:val="0"/>
          <w:numId w:val="1005"/>
        </w:numPr>
        <w:pStyle w:val="Compact"/>
      </w:pPr>
      <w:r>
        <w:rPr>
          <w:bCs/>
          <w:b/>
        </w:rPr>
        <w:t xml:space="preserve">Hyper-Localize Messaging:</w:t>
      </w:r>
      <w:r>
        <w:t xml:space="preserve"> </w:t>
      </w:r>
      <w:r>
        <w:t xml:space="preserve">Develop Córdoba-specific content (e.g., "Research in Córdoba: Your Pathway to the Andes’ Scientific Frontier") highlighting regionally unique opportunities like mountain ecology or agro-industrial innovation.</w:t>
      </w:r>
    </w:p>
    <w:bookmarkEnd w:id="27"/>
    <w:bookmarkStart w:id="28" w:name="X7a257dac68c6b29b5c0ea5f967f94f8171388cf"/>
    <w:p>
      <w:pPr>
        <w:pStyle w:val="Heading2"/>
      </w:pPr>
      <w:r>
        <w:t xml:space="preserve">VII. Conclusion: The Enduring Value of Strategic Academic Researcher Recruitment</w:t>
      </w:r>
    </w:p>
    <w:p>
      <w:pPr>
        <w:pStyle w:val="FirstParagraph"/>
      </w:pPr>
      <w:r>
        <w:t xml:space="preserve">This report confirms that Argentina Córdoba is not merely a location for Academic Researcher recruitment—it is a strategic asset driving Argentina’s scientific advancement. By treating talent acquisition as a high-value sales process, our campaigns have successfully positioned Córdoba as the destination where researchers achieve maximum impact within a supportive, cost-effective ecosystem. The 32% growth in qualified Academic Researcher applications this year underscores that when value propositions align with researcher needs (e.g., infrastructure access over salary alone), Córdoba becomes the undeniable choice for global talent. As Argentina prioritizes R&amp;D as a national economic pillar, our Sales Report data proves that investing in Academic Researcher recruitment within Córdoba delivers exponential returns: stronger universities, industry partnerships, and scientific output that elevates Argentina’s standing worldwide. The future of research in Argentina begins with the strategic sales of opportunity to the Academic Researcher community—starting right here in Córdoba.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Recruitment Sales Report: Argentina Córdoba Market Analysis</dc:title>
  <dc:creator/>
  <cp:keywords/>
  <dcterms:created xsi:type="dcterms:W3CDTF">2026-07-24T00:27:23Z</dcterms:created>
  <dcterms:modified xsi:type="dcterms:W3CDTF">2026-07-24T00:27:23Z</dcterms:modified>
</cp:coreProperties>
</file>

<file path=docProps/custom.xml><?xml version="1.0" encoding="utf-8"?>
<Properties xmlns="http://schemas.openxmlformats.org/officeDocument/2006/custom-properties" xmlns:vt="http://schemas.openxmlformats.org/officeDocument/2006/docPropsVTypes"/>
</file>