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Australia</w:t>
      </w:r>
      <w:r>
        <w:t xml:space="preserve"> </w:t>
      </w:r>
      <w:r>
        <w:t xml:space="preserve">Melbourne</w:t>
      </w:r>
    </w:p>
    <w:bookmarkStart w:id="28" w:name="Xc061bead68c1ca894f7b3dae37baed7b07f2675"/>
    <w:p>
      <w:pPr>
        <w:pStyle w:val="Heading1"/>
      </w:pPr>
      <w:r>
        <w:t xml:space="preserve">Sales Report: Academic Researcher Recruitment &amp; Strategic Positioning in Australia Melbourne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Melbourne Executive Leadership &amp; Research Division</w:t>
      </w:r>
      <w:r>
        <w:br/>
      </w:r>
      <w:r>
        <w:rPr>
          <w:bCs/>
          <w:b/>
        </w:rPr>
        <w:t xml:space="preserve">Report Type:</w:t>
      </w:r>
      <w:r>
        <w:t xml:space="preserve"> </w:t>
      </w:r>
      <w:r>
        <w:t xml:space="preserve">Strategic Talent Acquisition Analysis</w:t>
      </w:r>
    </w:p>
    <w:bookmarkStart w:id="20" w:name="i.-executive-summary"/>
    <w:p>
      <w:pPr>
        <w:pStyle w:val="Heading2"/>
      </w:pPr>
      <w:r>
        <w:t xml:space="preserve">I. Executive Summary</w:t>
      </w:r>
    </w:p>
    <w:p>
      <w:pPr>
        <w:pStyle w:val="FirstParagraph"/>
      </w:pPr>
      <w:r>
        <w:t xml:space="preserve">This comprehensive Sales Report details the successful recruitment and strategic onboarding of an Academic Researcher within Australia Melbourne's premier research ecosystem. The initiative aligns with the University of Melbourne's 2030 Research Strategy, directly contributing to our positioning as a global leader in interdisciplinary innovation. This report demonstrates how targeted talent acquisition for Academic Researcher roles has generated significant ROI through enhanced grant funding, industry partnerships, and elevated institutional reputation in Australia Melbourne's competitive academic landscape.</w:t>
      </w:r>
    </w:p>
    <w:bookmarkEnd w:id="20"/>
    <w:bookmarkStart w:id="21" w:name="X60341658ee18263f7783248f374a4e41f3f466b"/>
    <w:p>
      <w:pPr>
        <w:pStyle w:val="Heading2"/>
      </w:pPr>
      <w:r>
        <w:t xml:space="preserve">II. Market Context: Australia Melbourne's Research Economy</w:t>
      </w:r>
    </w:p>
    <w:p>
      <w:pPr>
        <w:pStyle w:val="FirstParagraph"/>
      </w:pPr>
      <w:r>
        <w:t xml:space="preserve">Australia Melbourne stands as the undisputed epicenter of academic excellence in the Southern Hemisphere, home to 5 of the top 10 Australian universities and 78% of Australia's world-ranked research institutions. The Victorian Government's $1.2B Research and Innovation Fund (2023) has intensified competition for high-caliber Academic Researchers across biomedical sciences, sustainable technologies, and AI ethics – sectors where Melbourne leads globally. This Sales Report confirms our strategic advantage in securing talent within this premium market, where only 18% of research positions are filled through proactive recruitment versus industry average of 32%.</w:t>
      </w:r>
    </w:p>
    <w:bookmarkEnd w:id="21"/>
    <w:bookmarkStart w:id="22" w:name="X91a5d920ea424a53a15c77b31daf417314a7239"/>
    <w:p>
      <w:pPr>
        <w:pStyle w:val="Heading2"/>
      </w:pPr>
      <w:r>
        <w:t xml:space="preserve">III. Recruitment Strategy &amp; Candidate Acquisition</w:t>
      </w:r>
    </w:p>
    <w:p>
      <w:pPr>
        <w:pStyle w:val="FirstParagraph"/>
      </w:pPr>
      <w:r>
        <w:t xml:space="preserve">The Academic Researcher position (Ref: MR-AR-2023/14) was marketed using a multi-channel approach tailored to Melbourne's academic ecosystem:</w:t>
      </w:r>
    </w:p>
    <w:p>
      <w:pPr>
        <w:numPr>
          <w:ilvl w:val="0"/>
          <w:numId w:val="1001"/>
        </w:numPr>
        <w:pStyle w:val="Compact"/>
      </w:pPr>
      <w:r>
        <w:rPr>
          <w:bCs/>
          <w:b/>
        </w:rPr>
        <w:t xml:space="preserve">University Network Partnerships:</w:t>
      </w:r>
      <w:r>
        <w:t xml:space="preserve"> </w:t>
      </w:r>
      <w:r>
        <w:t xml:space="preserve">Leveraged existing relationships with Monash University and Deakin, resulting in 73% of shortlisted candidates from trusted institutional referrals.</w:t>
      </w:r>
    </w:p>
    <w:p>
      <w:pPr>
        <w:numPr>
          <w:ilvl w:val="0"/>
          <w:numId w:val="1001"/>
        </w:numPr>
        <w:pStyle w:val="Compact"/>
      </w:pPr>
      <w:r>
        <w:rPr>
          <w:bCs/>
          <w:b/>
        </w:rPr>
        <w:t xml:space="preserve">Tech-Driven Talent Sourcing:</w:t>
      </w:r>
      <w:r>
        <w:t xml:space="preserve"> </w:t>
      </w:r>
      <w:r>
        <w:t xml:space="preserve">Utilized Melbourne-specific academic databases (e.g., ARAI, RMIT Research Hub) to identify candidates with publications in Q1 journals within the last 24 months.</w:t>
      </w:r>
    </w:p>
    <w:p>
      <w:pPr>
        <w:numPr>
          <w:ilvl w:val="0"/>
          <w:numId w:val="1001"/>
        </w:numPr>
        <w:pStyle w:val="Compact"/>
      </w:pPr>
      <w:r>
        <w:rPr>
          <w:bCs/>
          <w:b/>
        </w:rPr>
        <w:t xml:space="preserve">Local Community Engagement:</w:t>
      </w:r>
      <w:r>
        <w:t xml:space="preserve"> </w:t>
      </w:r>
      <w:r>
        <w:t xml:space="preserve">Hosted "Research Innovation Coffee Chats" at Melbourne Central Library, generating 27 qualified applications from local researchers previously outside our network.</w:t>
      </w:r>
    </w:p>
    <w:p>
      <w:pPr>
        <w:pStyle w:val="FirstParagraph"/>
      </w:pPr>
      <w:r>
        <w:t xml:space="preserve">Key metric: The Sales Report records a 68% reduction in time-to-hire (from 142 days to 46 days) compared to the national average for similar Academic Researcher roles, directly attributable to Melbourne-market intelligence integration.</w:t>
      </w:r>
    </w:p>
    <w:bookmarkEnd w:id="22"/>
    <w:bookmarkStart w:id="23" w:name="X8a94773773faeb4a83d5d2d6129039e03596a85"/>
    <w:p>
      <w:pPr>
        <w:pStyle w:val="Heading2"/>
      </w:pPr>
      <w:r>
        <w:t xml:space="preserve">IV. Candidate Qualification &amp; Strategic Fit</w:t>
      </w:r>
    </w:p>
    <w:p>
      <w:pPr>
        <w:pStyle w:val="FirstParagraph"/>
      </w:pPr>
      <w:r>
        <w:t xml:space="preserve">The selected candidate, Dr. Evelyn Tan (PhD in Computational Neuroscience, University of Melbourne), represents a paradigm shift in our research capabilities. Her expertise aligns with Australia Melbourne's National Research Priorities for 2025–2030:</w:t>
      </w:r>
    </w:p>
    <w:p>
      <w:pPr>
        <w:pStyle w:val="BodyText"/>
      </w:pPr>
      <w:r>
        <w:t xml:space="preserve">Competency</w:t>
      </w:r>
    </w:p>
    <w:p>
      <w:pPr>
        <w:pStyle w:val="BodyText"/>
      </w:pPr>
      <w:r>
        <w:t xml:space="preserve">Industry Standard</w:t>
      </w:r>
    </w:p>
    <w:p>
      <w:pPr>
        <w:pStyle w:val="BodyText"/>
      </w:pPr>
      <w:r>
        <w:t xml:space="preserve">Dr. Tan's Profile</w:t>
      </w:r>
    </w:p>
    <w:p>
      <w:pPr>
        <w:pStyle w:val="BodyText"/>
      </w:pPr>
      <w:r>
        <w:t xml:space="preserve">Funding Acquisition (Past 3 Years)</w:t>
      </w:r>
    </w:p>
    <w:p>
      <w:pPr>
        <w:pStyle w:val="BodyText"/>
      </w:pPr>
      <w:r>
        <w:t xml:space="preserve">$185K avg.</w:t>
      </w:r>
    </w:p>
    <w:p>
      <w:pPr>
        <w:pStyle w:val="BodyText"/>
      </w:pPr>
      <w:r>
        <w:t xml:space="preserve">$720K (NSW Health Grant, ARC Discovery)</w:t>
      </w:r>
    </w:p>
    <w:p>
      <w:pPr>
        <w:pStyle w:val="BodyText"/>
      </w:pPr>
      <w:r>
        <w:t xml:space="preserve">Industry Collaboration</w:t>
      </w:r>
    </w:p>
    <w:p>
      <w:pPr>
        <w:pStyle w:val="BodyText"/>
      </w:pPr>
      <w:r>
        <w:t xml:space="preserve">1.2 partnerships</w:t>
      </w:r>
    </w:p>
    <w:p>
      <w:pPr>
        <w:pStyle w:val="BodyText"/>
      </w:pPr>
      <w:r>
        <w:t xml:space="preserve">&lt;</w:t>
      </w:r>
    </w:p>
    <w:p>
      <w:pPr>
        <w:pStyle w:val="BodyText"/>
      </w:pPr>
      <w:r>
        <w:t xml:space="preserve">4 active (including CSL Behring, Melbourne Neurotech)</w:t>
      </w:r>
    </w:p>
    <w:p>
      <w:pPr>
        <w:pStyle w:val="BodyText"/>
      </w:pPr>
      <w:r>
        <w:t xml:space="preserve">Publishing Output</w:t>
      </w:r>
    </w:p>
    <w:p>
      <w:pPr>
        <w:pStyle w:val="BodyText"/>
      </w:pPr>
      <w:r>
        <w:t xml:space="preserve">&lt;</w:t>
      </w:r>
    </w:p>
    <w:p>
      <w:pPr>
        <w:pStyle w:val="BodyText"/>
      </w:pPr>
      <w:r>
        <w:t xml:space="preserve">0.8 papers/yr (Q1)</w:t>
      </w:r>
    </w:p>
    <w:p>
      <w:pPr>
        <w:pStyle w:val="BodyText"/>
      </w:pPr>
      <w:r>
        <w:t xml:space="preserve">2.7 papers/yr (Nature Subjournal)</w:t>
      </w:r>
    </w:p>
    <w:p>
      <w:pPr>
        <w:pStyle w:val="BodyText"/>
      </w:pPr>
      <w:r>
        <w:t xml:space="preserve">This Sales Report emphasizes that Dr. Tan's profile directly addresses Melbourne's strategic need for researchers bridging AI and biomedical applications – a sector projected to grow by 34% in Australia by 2027 (DEEWR, 2023).</w:t>
      </w:r>
    </w:p>
    <w:bookmarkEnd w:id="23"/>
    <w:bookmarkStart w:id="24" w:name="v.-financial-impact-roi-analysis"/>
    <w:p>
      <w:pPr>
        <w:pStyle w:val="Heading2"/>
      </w:pPr>
      <w:r>
        <w:t xml:space="preserve">V. Financial Impact &amp; ROI Analysis</w:t>
      </w:r>
    </w:p>
    <w:p>
      <w:pPr>
        <w:pStyle w:val="FirstParagraph"/>
      </w:pPr>
      <w:r>
        <w:t xml:space="preserve">The investment in this Academic Researcher role has generated immediate financial returns:</w:t>
      </w:r>
    </w:p>
    <w:p>
      <w:pPr>
        <w:numPr>
          <w:ilvl w:val="0"/>
          <w:numId w:val="1002"/>
        </w:numPr>
        <w:pStyle w:val="Compact"/>
      </w:pPr>
      <w:r>
        <w:rPr>
          <w:bCs/>
          <w:b/>
        </w:rPr>
        <w:t xml:space="preserve">Grant Revenue Uplift:</w:t>
      </w:r>
      <w:r>
        <w:t xml:space="preserve"> </w:t>
      </w:r>
      <w:r>
        <w:t xml:space="preserve">Secured $1.8M in new funding within 90 days, exceeding our annual target by 31%.</w:t>
      </w:r>
    </w:p>
    <w:p>
      <w:pPr>
        <w:numPr>
          <w:ilvl w:val="0"/>
          <w:numId w:val="1002"/>
        </w:numPr>
        <w:pStyle w:val="Compact"/>
      </w:pPr>
      <w:r>
        <w:rPr>
          <w:bCs/>
          <w:b/>
        </w:rPr>
        <w:t xml:space="preserve">Industry Partnership Value:</w:t>
      </w:r>
      <w:r>
        <w:t xml:space="preserve"> </w:t>
      </w:r>
      <w:r>
        <w:t xml:space="preserve">Attracted a $450K industry co-investment agreement with Medtronic Australia – the first such deal secured by Melbourne-based researchers in Q3 2023.</w:t>
      </w:r>
    </w:p>
    <w:p>
      <w:pPr>
        <w:numPr>
          <w:ilvl w:val="0"/>
          <w:numId w:val="1002"/>
        </w:numPr>
        <w:pStyle w:val="Compact"/>
      </w:pPr>
      <w:r>
        <w:rPr>
          <w:bCs/>
          <w:b/>
        </w:rPr>
        <w:t xml:space="preserve">Cost Avoidance:</w:t>
      </w:r>
      <w:r>
        <w:t xml:space="preserve"> </w:t>
      </w:r>
      <w:r>
        <w:t xml:space="preserve">Eliminated $197K in temporary contractor costs through rapid onboarding (vs. 6-month average for similar roles).</w:t>
      </w:r>
    </w:p>
    <w:p>
      <w:pPr>
        <w:pStyle w:val="FirstParagraph"/>
      </w:pPr>
      <w:r>
        <w:t xml:space="preserve">The Sales Report calculates a net positive ROI of 247% within the first fiscal year, significantly surpassing the university's benchmark of 120% for research roles.</w:t>
      </w:r>
    </w:p>
    <w:bookmarkEnd w:id="24"/>
    <w:bookmarkStart w:id="25" w:name="Xe7d0132e98caa10047cc1994340cf956d1b7811"/>
    <w:p>
      <w:pPr>
        <w:pStyle w:val="Heading2"/>
      </w:pPr>
      <w:r>
        <w:t xml:space="preserve">VI. Melbourne-Specific Competitive Advantages</w:t>
      </w:r>
    </w:p>
    <w:p>
      <w:pPr>
        <w:pStyle w:val="FirstParagraph"/>
      </w:pPr>
      <w:r>
        <w:t xml:space="preserve">This Sales Report identifies three distinct advantages in Australia Melbourne that directly contributed to success:</w:t>
      </w:r>
    </w:p>
    <w:p>
      <w:pPr>
        <w:numPr>
          <w:ilvl w:val="0"/>
          <w:numId w:val="1003"/>
        </w:numPr>
        <w:pStyle w:val="Compact"/>
      </w:pPr>
      <w:r>
        <w:rPr>
          <w:bCs/>
          <w:b/>
        </w:rPr>
        <w:t xml:space="preserve">Geographic Magnetism:</w:t>
      </w:r>
      <w:r>
        <w:t xml:space="preserve"> </w:t>
      </w:r>
      <w:r>
        <w:t xml:space="preserve">89% of candidates expressed willingness to relocate specifically for Melbourne-based roles (vs. 56% nationally), driven by the city's $24B research economy and lifestyle appeal.</w:t>
      </w:r>
    </w:p>
    <w:p>
      <w:pPr>
        <w:numPr>
          <w:ilvl w:val="0"/>
          <w:numId w:val="1003"/>
        </w:numPr>
        <w:pStyle w:val="Compact"/>
      </w:pPr>
      <w:r>
        <w:rPr>
          <w:bCs/>
          <w:b/>
        </w:rPr>
        <w:t xml:space="preserve">Policy Alignment:</w:t>
      </w:r>
      <w:r>
        <w:t xml:space="preserve"> </w:t>
      </w:r>
      <w:r>
        <w:t xml:space="preserve">Targeted recruitment during the Victorian Government's "Research Talent Accelerator" program, which provides $10K relocation subsidies for eligible Academic Researchers.</w:t>
      </w:r>
    </w:p>
    <w:p>
      <w:pPr>
        <w:numPr>
          <w:ilvl w:val="0"/>
          <w:numId w:val="1003"/>
        </w:numPr>
        <w:pStyle w:val="Compact"/>
      </w:pPr>
      <w:r>
        <w:rPr>
          <w:bCs/>
          <w:b/>
        </w:rPr>
        <w:t xml:space="preserve">Cultural Synergy:</w:t>
      </w:r>
      <w:r>
        <w:t xml:space="preserve"> </w:t>
      </w:r>
      <w:r>
        <w:t xml:space="preserve">Emphasis on Melbourne's collaborative research hubs (e.g., Bio21 Institute, Melbourne Neuroscience) in candidate communications – a factor cited by 92% of successful applicants as decisive in acceptance.</w:t>
      </w:r>
    </w:p>
    <w:bookmarkEnd w:id="25"/>
    <w:bookmarkStart w:id="26" w:name="vii.-future-recommendations"/>
    <w:p>
      <w:pPr>
        <w:pStyle w:val="Heading2"/>
      </w:pPr>
      <w:r>
        <w:t xml:space="preserve">VII. Future Recommendations</w:t>
      </w:r>
    </w:p>
    <w:p>
      <w:pPr>
        <w:pStyle w:val="FirstParagraph"/>
      </w:pPr>
      <w:r>
        <w:t xml:space="preserve">Based on this Sales Report analysis, we recommend three strategic actions for Australia Melbourne's Academic Researcher recruitment:</w:t>
      </w:r>
    </w:p>
    <w:p>
      <w:pPr>
        <w:numPr>
          <w:ilvl w:val="0"/>
          <w:numId w:val="1004"/>
        </w:numPr>
        <w:pStyle w:val="Compact"/>
      </w:pPr>
      <w:r>
        <w:rPr>
          <w:bCs/>
          <w:b/>
        </w:rPr>
        <w:t xml:space="preserve">Establish a Melbourne Talent Pipeline:</w:t>
      </w:r>
      <w:r>
        <w:t xml:space="preserve"> </w:t>
      </w:r>
      <w:r>
        <w:t xml:space="preserve">Create dedicated partnerships with 5 Victorian universities to co-develop early-career researcher pathways.</w:t>
      </w:r>
    </w:p>
    <w:p>
      <w:pPr>
        <w:numPr>
          <w:ilvl w:val="0"/>
          <w:numId w:val="1004"/>
        </w:numPr>
        <w:pStyle w:val="Compact"/>
      </w:pPr>
      <w:r>
        <w:rPr>
          <w:bCs/>
          <w:b/>
        </w:rPr>
        <w:t xml:space="preserve">Launch "Research Impact" Branding:</w:t>
      </w:r>
      <w:r>
        <w:t xml:space="preserve"> </w:t>
      </w:r>
      <w:r>
        <w:t xml:space="preserve">Develop marketing campaigns showcasing Melbourne's unique research ecosystem for Academic Researchers (e.g., "Why Melbourne? The Innovation Advantage").</w:t>
      </w:r>
    </w:p>
    <w:p>
      <w:pPr>
        <w:numPr>
          <w:ilvl w:val="0"/>
          <w:numId w:val="1004"/>
        </w:numPr>
        <w:pStyle w:val="Compact"/>
      </w:pPr>
      <w:r>
        <w:rPr>
          <w:bCs/>
          <w:b/>
        </w:rPr>
        <w:t xml:space="preserve">Prioritize AI-Driven Recruitment:</w:t>
      </w:r>
      <w:r>
        <w:t xml:space="preserve"> </w:t>
      </w:r>
      <w:r>
        <w:t xml:space="preserve">Implement predictive analytics to identify high-potential candidates within Australia Melbourne's 120+ academic clusters.</w:t>
      </w:r>
    </w:p>
    <w:bookmarkEnd w:id="26"/>
    <w:bookmarkStart w:id="27" w:name="viii.-conclusion"/>
    <w:p>
      <w:pPr>
        <w:pStyle w:val="Heading2"/>
      </w:pPr>
      <w:r>
        <w:t xml:space="preserve">VIII. Conclusion</w:t>
      </w:r>
    </w:p>
    <w:p>
      <w:pPr>
        <w:pStyle w:val="FirstParagraph"/>
      </w:pPr>
      <w:r>
        <w:t xml:space="preserve">This Sales Report unequivocally demonstrates that strategic recruitment of Academic Researchers in Australia Melbourne delivers transformative value beyond traditional metrics. Dr. Tan's appointment has catalyzed new research directions, secured significant external investment, and elevated the University of Melbourne's standing within the Australian Research Council's Excellence for Research in Australia (ERA) framework. As Melbourne continues to evolve as a global research nexus – recently ranked #2 worldwide for university-industry collaboration by QS 2023 – our targeted Academic Researcher acquisition strategy positions us to capture 15% market share of new high-value research partnerships in the biotech sector by 2026.</w:t>
      </w:r>
    </w:p>
    <w:p>
      <w:pPr>
        <w:pStyle w:val="BodyText"/>
      </w:pPr>
      <w:r>
        <w:t xml:space="preserve">Investing in talent that thrives within Australia Melbourne's dynamic ecosystem isn't merely recruitment; it's strategic positioning for global leadership. This Sales Report provides the roadmap to replicate this success across all research disciplines, ensuring our institution remains at the vanguard of academic innovation where Melbourne leads.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Australia Melbourne</dc:title>
  <dc:creator/>
  <dc:language>en</dc:language>
  <cp:keywords/>
  <dcterms:created xsi:type="dcterms:W3CDTF">2025-12-10T11:16:47Z</dcterms:created>
  <dcterms:modified xsi:type="dcterms:W3CDTF">2025-12-10T11:16:47Z</dcterms:modified>
</cp:coreProperties>
</file>

<file path=docProps/custom.xml><?xml version="1.0" encoding="utf-8"?>
<Properties xmlns="http://schemas.openxmlformats.org/officeDocument/2006/custom-properties" xmlns:vt="http://schemas.openxmlformats.org/officeDocument/2006/docPropsVTypes"/>
</file>