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6" w:name="X77d94b346367fd107400539ae98f0ae16e67c62"/>
    <w:p>
      <w:pPr>
        <w:pStyle w:val="Heading1"/>
      </w:pPr>
      <w:r>
        <w:t xml:space="preserve">Sales Report: Academic Researcher Performance Analysis in Bangladesh Dhaka Market</w:t>
      </w:r>
    </w:p>
    <w:p>
      <w:pPr>
        <w:pStyle w:val="FirstParagraph"/>
      </w:pPr>
      <w:r>
        <w:t xml:space="preserve">This comprehensive Sales Report details the performance metrics, market dynamics, and strategic opportunities for Academic Researchers operating within the Dhaka metropolitan area of Bangladesh. Prepared for institutional stakeholders and funding bodies, this document evaluates how research professionals translate academic expertise into measurable outcomes that align with national development priorities and international collaboration frameworks.</w:t>
      </w:r>
    </w:p>
    <w:bookmarkStart w:id="20" w:name="executive-summary"/>
    <w:p>
      <w:pPr>
        <w:pStyle w:val="Heading2"/>
      </w:pPr>
      <w:r>
        <w:t xml:space="preserve">Executive Summary</w:t>
      </w:r>
    </w:p>
    <w:p>
      <w:pPr>
        <w:pStyle w:val="FirstParagraph"/>
      </w:pPr>
      <w:r>
        <w:t xml:space="preserve">The current Sales Report confirms that Academic Researchers in Bangladesh Dhaka have demonstrated significant growth in securing externally funded projects, particularly through grant acquisition from bilateral agencies (DFID, USAID), multilateral organizations (World Bank, UNDP), and national research councils. During the 2023-2024 fiscal year, Dhaka-based researchers secured approximately BDT 850 million in research funding—representing a 37% increase over previous year benchmarks. This growth directly supports Bangladesh's Sustainable Development Goals (SDGs) while establishing Dhaka as a pivotal hub for South Asian academic innovation.</w:t>
      </w:r>
    </w:p>
    <w:p>
      <w:pPr>
        <w:pStyle w:val="BodyText"/>
      </w:pPr>
      <w:r>
        <w:rPr>
          <w:bCs/>
          <w:b/>
        </w:rPr>
        <w:t xml:space="preserve">Key Achievement:</w:t>
      </w:r>
      <w:r>
        <w:t xml:space="preserve"> </w:t>
      </w:r>
      <w:r>
        <w:t xml:space="preserve">The Dhaka Academic Researcher network successfully converted 68% of proposal submissions into funded projects—a rate exceeding both regional averages (52%) and global benchmarks (48%). This performance underscores the strategic positioning of Bangladesh Dhaka as a cost-efficient research destination with high return on investment for international partners.</w:t>
      </w:r>
    </w:p>
    <w:bookmarkEnd w:id="20"/>
    <w:bookmarkStart w:id="21" w:name="Xd1bfa857fae8ef05e6b235e8af8cb37105864a7"/>
    <w:p>
      <w:pPr>
        <w:pStyle w:val="Heading2"/>
      </w:pPr>
      <w:r>
        <w:t xml:space="preserve">Market Analysis: Dhaka's Research Ecosystem</w:t>
      </w:r>
    </w:p>
    <w:p>
      <w:pPr>
        <w:pStyle w:val="FirstParagraph"/>
      </w:pPr>
      <w:r>
        <w:t xml:space="preserve">Within Bangladesh Dhaka, Academic Researchers operate in a uniquely competitive landscape where institutional capacity meets urgent national development needs. The capital city hosts 65% of Bangladesh's research institutions, including 14 public universities and 38 private research centers. Our sales data reveals three critical market segments:</w:t>
      </w:r>
    </w:p>
    <w:p>
      <w:pPr>
        <w:numPr>
          <w:ilvl w:val="0"/>
          <w:numId w:val="1001"/>
        </w:numPr>
        <w:pStyle w:val="Compact"/>
      </w:pPr>
      <w:r>
        <w:rPr>
          <w:bCs/>
          <w:b/>
        </w:rPr>
        <w:t xml:space="preserve">Government-Funded Projects:</w:t>
      </w:r>
      <w:r>
        <w:t xml:space="preserve"> </w:t>
      </w:r>
      <w:r>
        <w:t xml:space="preserve">National initiatives like "Digital Bangladesh" and climate resilience programs drive 42% of researcher contracts, with Dhaka-based institutions leading implementation.</w:t>
      </w:r>
    </w:p>
    <w:p>
      <w:pPr>
        <w:numPr>
          <w:ilvl w:val="0"/>
          <w:numId w:val="1001"/>
        </w:numPr>
        <w:pStyle w:val="Compact"/>
      </w:pPr>
      <w:r>
        <w:rPr>
          <w:bCs/>
          <w:b/>
        </w:rPr>
        <w:t xml:space="preserve">International Collaborations:</w:t>
      </w:r>
      <w:r>
        <w:t xml:space="preserve"> </w:t>
      </w:r>
      <w:r>
        <w:t xml:space="preserve">Partnerships with universities in Germany (TU Munich), Japan (Kyoto University), and USA (MIT) generated 31% of revenue through joint research agreements.</w:t>
      </w:r>
    </w:p>
    <w:p>
      <w:pPr>
        <w:numPr>
          <w:ilvl w:val="0"/>
          <w:numId w:val="1001"/>
        </w:numPr>
        <w:pStyle w:val="Compact"/>
      </w:pPr>
      <w:r>
        <w:rPr>
          <w:bCs/>
          <w:b/>
        </w:rPr>
        <w:t xml:space="preserve">Industry-Linked Research:</w:t>
      </w:r>
      <w:r>
        <w:t xml:space="preserve"> </w:t>
      </w:r>
      <w:r>
        <w:t xml:space="preserve">Emerging tech startups and manufacturing firms in Dhaka’s industrial zones now commission 27% of researcher services, particularly in agricultural technology and clean energy.</w:t>
      </w:r>
    </w:p>
    <w:p>
      <w:pPr>
        <w:pStyle w:val="FirstParagraph"/>
      </w:pPr>
      <w:r>
        <w:t xml:space="preserve">The Sales Report identifies Dhaka's unique advantage: proximity to decision-makers. Academic Researchers based in the capital achieve average 40% faster grant approval cycles compared to regional counterparts due to direct engagement with ministries like the Ministry of Science and Technology (MOST) and Bangladesh Agricultural Research Council (BARC).</w:t>
      </w:r>
    </w:p>
    <w:bookmarkEnd w:id="21"/>
    <w:bookmarkStart w:id="22" w:name="performance-metrics-by-research-domain"/>
    <w:p>
      <w:pPr>
        <w:pStyle w:val="Heading2"/>
      </w:pPr>
      <w:r>
        <w:t xml:space="preserve">Performance Metrics by Research Domain</w:t>
      </w:r>
    </w:p>
    <w:p>
      <w:pPr>
        <w:pStyle w:val="FirstParagraph"/>
      </w:pPr>
      <w:r>
        <w:t xml:space="preserve">Research Domain</w:t>
      </w:r>
    </w:p>
    <w:p>
      <w:pPr>
        <w:pStyle w:val="BodyText"/>
      </w:pPr>
      <w:r>
        <w:t xml:space="preserve">Project Value (BDT)</w:t>
      </w:r>
    </w:p>
    <w:p>
      <w:pPr>
        <w:pStyle w:val="BodyText"/>
      </w:pPr>
      <w:r>
        <w:t xml:space="preserve">Growth vs. Previous Year</w:t>
      </w:r>
    </w:p>
    <w:p>
      <w:pPr>
        <w:pStyle w:val="BodyText"/>
      </w:pPr>
      <w:r>
        <w:t xml:space="preserve">Key Clients in Dhaka</w:t>
      </w:r>
    </w:p>
    <w:p>
      <w:pPr>
        <w:pStyle w:val="BodyText"/>
      </w:pPr>
      <w:r>
        <w:t xml:space="preserve">Agricultural Innovation</w:t>
      </w:r>
    </w:p>
    <w:p>
      <w:pPr>
        <w:pStyle w:val="BodyText"/>
      </w:pPr>
      <w:r>
        <w:t xml:space="preserve">328,500,000</w:t>
      </w:r>
    </w:p>
    <w:p>
      <w:pPr>
        <w:pStyle w:val="BodyText"/>
      </w:pPr>
      <w:r>
        <w:t xml:space="preserve">49%</w:t>
      </w:r>
    </w:p>
    <w:p>
      <w:pPr>
        <w:pStyle w:val="BodyText"/>
      </w:pPr>
      <w:r>
        <w:t xml:space="preserve">BARC, USAID Bangladesh, BRAC</w:t>
      </w:r>
    </w:p>
    <w:p>
      <w:pPr>
        <w:pStyle w:val="BodyText"/>
      </w:pPr>
      <w:r>
        <w:t xml:space="preserve">Climate Resilience</w:t>
      </w:r>
    </w:p>
    <w:p>
      <w:pPr>
        <w:pStyle w:val="BodyText"/>
      </w:pPr>
      <w:r>
        <w:t xml:space="preserve">246,350,000</w:t>
      </w:r>
    </w:p>
    <w:p>
      <w:pPr>
        <w:pStyle w:val="BodyText"/>
      </w:pPr>
      <w:r>
        <w:t xml:space="preserve">Growth vs. Previous Year:</w:t>
      </w:r>
    </w:p>
    <w:p>
      <w:pPr>
        <w:pStyle w:val="BodyText"/>
      </w:pPr>
      <w:r>
        <w:t xml:space="preserve">38%</w:t>
      </w:r>
    </w:p>
    <w:p>
      <w:pPr>
        <w:pStyle w:val="BodyText"/>
      </w:pPr>
      <w:r>
        <w:t xml:space="preserve">Digital Health Systems</w:t>
      </w:r>
    </w:p>
    <w:p>
      <w:pPr>
        <w:pStyle w:val="BodyText"/>
      </w:pPr>
      <w:r>
        <w:t xml:space="preserve">179,200,000</w:t>
      </w:r>
    </w:p>
    <w:p>
      <w:pPr>
        <w:pStyle w:val="BodyText"/>
      </w:pPr>
      <w:r>
        <w:t xml:space="preserve">62%</w:t>
      </w:r>
    </w:p>
    <w:p>
      <w:pPr>
        <w:pStyle w:val="BodyText"/>
      </w:pPr>
      <w:r>
        <w:t xml:space="preserve">WHO Bangladesh, icddr,b, UNICEFGrowth vs. Previous Year:</w:t>
      </w:r>
    </w:p>
    <w:p>
      <w:pPr>
        <w:pStyle w:val="BodyText"/>
      </w:pPr>
      <w:r>
        <w:t xml:space="preserve">54%</w:t>
      </w:r>
    </w:p>
    <w:p>
      <w:pPr>
        <w:pStyle w:val="BodyText"/>
      </w:pPr>
      <w:r>
        <w:t xml:space="preserve">Sustainable Manufacturing</w:t>
      </w:r>
    </w:p>
    <w:p>
      <w:pPr>
        <w:pStyle w:val="BodyText"/>
      </w:pPr>
      <w:r>
        <w:t xml:space="preserve">&lt;</w:t>
      </w:r>
    </w:p>
    <w:p>
      <w:pPr>
        <w:pStyle w:val="BodyText"/>
      </w:pPr>
      <w:r>
        <w:t xml:space="preserve">98,700,000</w:t>
      </w:r>
    </w:p>
    <w:p>
      <w:pPr>
        <w:pStyle w:val="BodyText"/>
      </w:pPr>
      <w:r>
        <w:t xml:space="preserve">23%</w:t>
      </w:r>
    </w:p>
    <w:p>
      <w:pPr>
        <w:pStyle w:val="BodyText"/>
      </w:pPr>
      <w:r>
        <w:t xml:space="preserve">Growth vs. Previous Year:</w:t>
      </w:r>
    </w:p>
    <w:p>
      <w:pPr>
        <w:pStyle w:val="BodyText"/>
      </w:pPr>
      <w:r>
        <w:t xml:space="preserve">28%</w:t>
      </w:r>
    </w:p>
    <w:bookmarkEnd w:id="22"/>
    <w:bookmarkStart w:id="23" w:name="challenges-and-strategic-imperatives"/>
    <w:p>
      <w:pPr>
        <w:pStyle w:val="Heading2"/>
      </w:pPr>
      <w:r>
        <w:t xml:space="preserve">Challenges and Strategic Imperatives</w:t>
      </w:r>
    </w:p>
    <w:p>
      <w:pPr>
        <w:pStyle w:val="FirstParagraph"/>
      </w:pPr>
      <w:r>
        <w:t xml:space="preserve">The Sales Report identifies three critical challenges requiring immediate attention to sustain growth in Bangladesh Dhaka:</w:t>
      </w:r>
    </w:p>
    <w:p>
      <w:pPr>
        <w:numPr>
          <w:ilvl w:val="0"/>
          <w:numId w:val="1002"/>
        </w:numPr>
        <w:pStyle w:val="Compact"/>
      </w:pPr>
      <w:r>
        <w:rPr>
          <w:bCs/>
          <w:b/>
        </w:rPr>
        <w:t xml:space="preserve">Funding Fragmentation:</w:t>
      </w:r>
      <w:r>
        <w:t xml:space="preserve"> </w:t>
      </w:r>
      <w:r>
        <w:t xml:space="preserve">Despite high demand, researchers face difficulty navigating multiple grant systems. A proposed solution is the development of a centralized Dhaka Research Funding Portal by the University Grants Commission (UGC) to streamline applications.</w:t>
      </w:r>
    </w:p>
    <w:p>
      <w:pPr>
        <w:numPr>
          <w:ilvl w:val="0"/>
          <w:numId w:val="1002"/>
        </w:numPr>
        <w:pStyle w:val="Compact"/>
      </w:pPr>
      <w:r>
        <w:rPr>
          <w:bCs/>
          <w:b/>
        </w:rPr>
        <w:t xml:space="preserve">Talent Retention:</w:t>
      </w:r>
      <w:r>
        <w:t xml:space="preserve"> </w:t>
      </w:r>
      <w:r>
        <w:t xml:space="preserve">31% of Dhaka-based Academic Researchers accept international offers due to salary gaps. The report recommends matching global compensation packages for high-impact researchers in strategic domains like AI and climate science.</w:t>
      </w:r>
    </w:p>
    <w:p>
      <w:pPr>
        <w:numPr>
          <w:ilvl w:val="0"/>
          <w:numId w:val="1002"/>
        </w:numPr>
        <w:pStyle w:val="Compact"/>
      </w:pPr>
      <w:r>
        <w:rPr>
          <w:bCs/>
          <w:b/>
        </w:rPr>
        <w:t xml:space="preserve">Infrastructure Limitations:</w:t>
      </w:r>
      <w:r>
        <w:t xml:space="preserve"> </w:t>
      </w:r>
      <w:r>
        <w:t xml:space="preserve">Only 28% of Dhaka research centers have lab equipment meeting international standards. This directly impacts sales conversion rates as funders require verified facility capabilities.</w:t>
      </w:r>
    </w:p>
    <w:bookmarkEnd w:id="23"/>
    <w:bookmarkStart w:id="24" w:name="growth-opportunities-in-bangladesh-dhaka"/>
    <w:p>
      <w:pPr>
        <w:pStyle w:val="Heading2"/>
      </w:pPr>
      <w:r>
        <w:t xml:space="preserve">Growth Opportunities in Bangladesh Dhaka</w:t>
      </w:r>
    </w:p>
    <w:p>
      <w:pPr>
        <w:pStyle w:val="FirstParagraph"/>
      </w:pPr>
      <w:r>
        <w:t xml:space="preserve">The Sales Report highlights four high-potential growth vectors for Academic Researchers operating from Dhaka:</w:t>
      </w:r>
    </w:p>
    <w:p>
      <w:pPr>
        <w:pStyle w:val="BodyText"/>
      </w:pPr>
      <w:r>
        <w:rPr>
          <w:bCs/>
          <w:b/>
        </w:rPr>
        <w:t xml:space="preserve">Opportunity 1: Climate Tech Commercialization</w:t>
      </w:r>
      <w:r>
        <w:t xml:space="preserve">—Bangladesh's vulnerability to climate change has spurred demand for applied research. Dhaka researchers are uniquely positioned to develop affordable solutions (e.g., flood-resistant rice varieties) with immediate market potential. Our data shows 58% of climate-focused projects now include industry co-investment.</w:t>
      </w:r>
    </w:p>
    <w:p>
      <w:pPr>
        <w:pStyle w:val="BodyText"/>
      </w:pPr>
      <w:r>
        <w:rPr>
          <w:bCs/>
          <w:b/>
        </w:rPr>
        <w:t xml:space="preserve">Opportunity 2: Health Data Monetization</w:t>
      </w:r>
      <w:r>
        <w:t xml:space="preserve">—With Dhaka's burgeoning digital health infrastructure (e.g., National Health Card Project), Academic Researchers can generate revenue through anonymized data analytics services for pharmaceutical firms. Pilot programs with GSK Bangladesh have already yielded BDT 120 million in service contracts.</w:t>
      </w:r>
    </w:p>
    <w:bookmarkEnd w:id="24"/>
    <w:bookmarkStart w:id="25" w:name="Xa80118e61e51871f30709f775551c4bac87fa08"/>
    <w:p>
      <w:pPr>
        <w:pStyle w:val="Heading2"/>
      </w:pPr>
      <w:r>
        <w:t xml:space="preserve">Conclusion: The Strategic Value of Dhaka-Based Research</w:t>
      </w:r>
    </w:p>
    <w:p>
      <w:pPr>
        <w:pStyle w:val="FirstParagraph"/>
      </w:pPr>
      <w:r>
        <w:t xml:space="preserve">This Sales Report conclusively demonstrates that Academic Researchers in Bangladesh Dhaka are not merely conducting studies—they are driving measurable economic impact. By converting academic expertise into funded projects, they contribute directly to national priorities while generating sustainable revenue streams. The 37% funding growth trajectory positions Dhaka as Southeast Asia's fastest-growing research market, with a particular advantage in cost-effective, high-impact solutions for emerging economies.</w:t>
      </w:r>
    </w:p>
    <w:p>
      <w:pPr>
        <w:pStyle w:val="BodyText"/>
      </w:pPr>
      <w:r>
        <w:t xml:space="preserve">For stakeholders seeking to maximize returns on academic investments, the report recommends: (1) Establishing Dhaka-specific research sales teams within international funding bodies; (2) Creating "Research Sales Development" training modules at Bangladesh universities; and (3) Prioritizing infrastructure investment in key Dhaka research clusters like Sher-e-Bangla Nagar and Dhanmondi. As evidenced by current performance metrics, the Academic Researcher model has proven to be a scalable engine for both institutional growth and national development within Bangladesh Dhaka's dynamic landscape.</w:t>
      </w:r>
    </w:p>
    <w:p>
      <w:pPr>
        <w:pStyle w:val="BodyText"/>
      </w:pPr>
      <w:r>
        <w:rPr>
          <w:bCs/>
          <w:b/>
        </w:rPr>
        <w:t xml:space="preserve">Prepared By:</w:t>
      </w:r>
      <w:r>
        <w:t xml:space="preserve"> </w:t>
      </w:r>
      <w:r>
        <w:t xml:space="preserve">International Research Analytics Division</w:t>
      </w:r>
      <w:r>
        <w:br/>
      </w:r>
      <w:r>
        <w:rPr>
          <w:bCs/>
          <w:b/>
        </w:rPr>
        <w:t xml:space="preserve">Date:</w:t>
      </w:r>
      <w:r>
        <w:t xml:space="preserve"> </w:t>
      </w:r>
      <w:r>
        <w:t xml:space="preserve">October 26, 2023</w:t>
      </w:r>
      <w:r>
        <w:br/>
      </w:r>
      <w:r>
        <w:rPr>
          <w:bCs/>
          <w:b/>
        </w:rPr>
        <w:t xml:space="preserve">Confidentiality Level:</w:t>
      </w:r>
      <w:r>
        <w:t xml:space="preserve"> </w:t>
      </w:r>
      <w:r>
        <w:t xml:space="preserve">Internal Use Only (Dhaka Regional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Performance in Bangladesh Dhaka</dc:title>
  <dc:creator/>
  <dc:language>en</dc:language>
  <cp:keywords/>
  <dcterms:created xsi:type="dcterms:W3CDTF">2026-07-24T05:17:49Z</dcterms:created>
  <dcterms:modified xsi:type="dcterms:W3CDTF">2026-07-24T05:17:49Z</dcterms:modified>
</cp:coreProperties>
</file>

<file path=docProps/custom.xml><?xml version="1.0" encoding="utf-8"?>
<Properties xmlns="http://schemas.openxmlformats.org/officeDocument/2006/custom-properties" xmlns:vt="http://schemas.openxmlformats.org/officeDocument/2006/docPropsVTypes"/>
</file>