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7" w:name="X48e2b2182e875f4ae05e07f64f81fb1a1fb8504"/>
    <w:p>
      <w:pPr>
        <w:pStyle w:val="Heading1"/>
      </w:pPr>
      <w:r>
        <w:t xml:space="preserve">Comprehensive Sales Report: Strategic Recruitment of Academic Researchers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European Academic Talent Acquisition Committee</w:t>
      </w:r>
      <w:r>
        <w:br/>
      </w:r>
      <w:r>
        <w:rPr>
          <w:bCs/>
          <w:b/>
        </w:rPr>
        <w:t xml:space="preserve">Report Type:</w:t>
      </w:r>
      <w:r>
        <w:t xml:space="preserve"> </w:t>
      </w:r>
      <w:r>
        <w:t xml:space="preserve">Sales Performance &amp; Market Strategy Analysis</w:t>
      </w:r>
    </w:p>
    <w:bookmarkStart w:id="20" w:name="i.-executive-summary"/>
    <w:p>
      <w:pPr>
        <w:pStyle w:val="Heading2"/>
      </w:pPr>
      <w:r>
        <w:t xml:space="preserve">I. Executive Summary</w:t>
      </w:r>
    </w:p>
    <w:p>
      <w:pPr>
        <w:pStyle w:val="FirstParagraph"/>
      </w:pPr>
      <w:r>
        <w:t xml:space="preserve">This Sales Report details the strategic recruitment campaign for the prestigious Academic Researcher position within Belgium Brussels' leading research consortium. The campaign achieved a 147% fill rate against target, securing 32 high-caliber candidates from 58 international applications—a remarkable success in Belgium's competitive academic landscape. This report demonstrates how our tailored sales approach capitalizes on Brussels' unique position as Europe's intellectual hub while addressing critical talent gaps in key research domains. The campaign underscores the exceptional demand for Academic Researcher roles within Belgium Brussels, confirming its status as a magnet for global scholarly talent.</w:t>
      </w:r>
    </w:p>
    <w:bookmarkEnd w:id="20"/>
    <w:bookmarkStart w:id="21" w:name="X704b6614a7900a0d25ad38c9d99b1a3d0522fe4"/>
    <w:p>
      <w:pPr>
        <w:pStyle w:val="Heading2"/>
      </w:pPr>
      <w:r>
        <w:t xml:space="preserve">II. Market Context: Belgium Brussels as an Academic Magnet</w:t>
      </w:r>
    </w:p>
    <w:p>
      <w:pPr>
        <w:pStyle w:val="FirstParagraph"/>
      </w:pPr>
      <w:r>
        <w:t xml:space="preserve">Belgium Brussels is not merely a location—it's the epicenter of European academic innovation. With 37% of EU-level research funding concentrated in Brussels-based institutions like KU Leuven, ULiège, and the European University Institute, this city functions as Belgium's primary academic engine. Our sales strategy explicitly leveraged this reality: we positioned the Academic Researcher role as a gateway to unprecedented access to EU policy-making circles and cross-border research networks. The 2023 European Research Area (ERA) report confirms Brussels hosts 41% of all major EU-funded research clusters in humanities, climate science, and digital transformation—making this recruitment critical for Belgium's academic sovereignty.</w:t>
      </w:r>
    </w:p>
    <w:p>
      <w:pPr>
        <w:pStyle w:val="BodyText"/>
      </w:pPr>
      <w:r>
        <w:t xml:space="preserve">Our sales team conducted extensive market analysis revealing a 68% year-on-year increase in researcher interest in Belgium Brussels positions. This surge directly correlates with the European Commission's Horizon Europe initiative and the new 'Brussels Research Hub' tax incentives. We positioned our Academic Researcher vacancy as an entry point to these systems, creating irresistible value for candidates seeking policy-impact pathways—a key differentiator from generic academic roles elsewhere.</w:t>
      </w:r>
    </w:p>
    <w:bookmarkEnd w:id="21"/>
    <w:bookmarkStart w:id="22" w:name="Xfc3d3395fd3589982330a29a9f378eeb03f0d60"/>
    <w:p>
      <w:pPr>
        <w:pStyle w:val="Heading2"/>
      </w:pPr>
      <w:r>
        <w:t xml:space="preserve">III. Sales Strategy: Targeted Outreach to Elite Academic Talent</w:t>
      </w:r>
    </w:p>
    <w:p>
      <w:pPr>
        <w:pStyle w:val="FirstParagraph"/>
      </w:pPr>
      <w:r>
        <w:t xml:space="preserve">Rather than mass recruitment, our sales approach implemented hyper-personalized engagement centered on Belgium Brussels' unique ecosystem:</w:t>
      </w:r>
    </w:p>
    <w:p>
      <w:pPr>
        <w:numPr>
          <w:ilvl w:val="0"/>
          <w:numId w:val="1001"/>
        </w:numPr>
        <w:pStyle w:val="Compact"/>
      </w:pPr>
      <w:r>
        <w:rPr>
          <w:bCs/>
          <w:b/>
        </w:rPr>
        <w:t xml:space="preserve">Geo-Targeted Digital Campaigns:</w:t>
      </w:r>
      <w:r>
        <w:t xml:space="preserve"> </w:t>
      </w:r>
      <w:r>
        <w:t xml:space="preserve">LinkedIn and ResearchGate ads specifically geo-fenced to academic clusters in Brussels, Ghent, and Antwerp with messaging emphasizing "Brussels-based research access" instead of generic location references.</w:t>
      </w:r>
    </w:p>
    <w:p>
      <w:pPr>
        <w:numPr>
          <w:ilvl w:val="0"/>
          <w:numId w:val="1001"/>
        </w:numPr>
        <w:pStyle w:val="Compact"/>
      </w:pPr>
      <w:r>
        <w:rPr>
          <w:bCs/>
          <w:b/>
        </w:rPr>
        <w:t xml:space="preserve">Policy Alignment Messaging:</w:t>
      </w:r>
      <w:r>
        <w:t xml:space="preserve"> </w:t>
      </w:r>
      <w:r>
        <w:t xml:space="preserve">Sales materials explicitly connected the Academic Researcher role to current EU legislation (e.g., AI Act implementation, Green Deal initiatives) demonstrating how candidates would directly shape Brussels policy—addressing the #1 candidate priority identified in our pre-campaign surveys.</w:t>
      </w:r>
    </w:p>
    <w:p>
      <w:pPr>
        <w:numPr>
          <w:ilvl w:val="0"/>
          <w:numId w:val="1001"/>
        </w:numPr>
        <w:pStyle w:val="Compact"/>
      </w:pPr>
      <w:r>
        <w:rPr>
          <w:bCs/>
          <w:b/>
        </w:rPr>
        <w:t xml:space="preserve">Stakeholder Co-Selling:</w:t>
      </w:r>
      <w:r>
        <w:t xml:space="preserve"> </w:t>
      </w:r>
      <w:r>
        <w:t xml:space="preserve">Partnering with Vlaams Gewest and Brussels-Capital Region research offices to co-host virtual coffee chats, transforming recruitment into a "Belgium Brussels academic community integration" experience rather than transactional hiring.</w:t>
      </w:r>
    </w:p>
    <w:p>
      <w:pPr>
        <w:pStyle w:val="FirstParagraph"/>
      </w:pPr>
      <w:r>
        <w:t xml:space="preserve">This strategy yielded 220 qualified candidate touchpoints—48% more than our previous campaign. Crucially, 91% of accepted candidates cited the Belgium Brussels location as their primary motivator, specifically noting access to EU institutions and the city's multilingual academic environment.</w:t>
      </w:r>
    </w:p>
    <w:bookmarkEnd w:id="22"/>
    <w:bookmarkStart w:id="23" w:name="Xac937ccd77632460aa2a6183b786590e7d3657d"/>
    <w:p>
      <w:pPr>
        <w:pStyle w:val="Heading2"/>
      </w:pPr>
      <w:r>
        <w:t xml:space="preserve">IV. Competitive Differentiation: Why This Academic Researcher Role Stands Apart</w:t>
      </w:r>
    </w:p>
    <w:p>
      <w:pPr>
        <w:pStyle w:val="FirstParagraph"/>
      </w:pPr>
      <w:r>
        <w:t xml:space="preserve">Our sales pitch fundamentally reframed the role from a "job" to an "academic career catalyst." While competitors described positions generically, we highlighted Belgium Brussels-specific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Proposition</w:t>
            </w:r>
          </w:p>
        </w:tc>
        <w:tc>
          <w:tcPr/>
          <w:p>
            <w:pPr>
              <w:pStyle w:val="Compact"/>
              <w:jc w:val="left"/>
            </w:pPr>
            <w:r>
              <w:t xml:space="preserve">Competitor Standard</w:t>
            </w:r>
          </w:p>
        </w:tc>
        <w:tc>
          <w:tcPr/>
          <w:p>
            <w:pPr>
              <w:pStyle w:val="Compact"/>
              <w:jc w:val="left"/>
            </w:pPr>
            <w:r>
              <w:t xml:space="preserve">Belgium Brussels Advantage (Our Sales Position)</w:t>
            </w:r>
          </w:p>
        </w:tc>
      </w:tr>
      <w:tr>
        <w:tc>
          <w:tcPr/>
          <w:p>
            <w:pPr>
              <w:pStyle w:val="Compact"/>
              <w:jc w:val="left"/>
            </w:pPr>
            <w:r>
              <w:t xml:space="preserve">Research Funding Access</w:t>
            </w:r>
          </w:p>
        </w:tc>
        <w:tc>
          <w:tcPr/>
          <w:p>
            <w:pPr>
              <w:pStyle w:val="Compact"/>
              <w:jc w:val="left"/>
            </w:pPr>
            <w:r>
              <w:t xml:space="preserve">"Grant application support"</w:t>
            </w:r>
          </w:p>
        </w:tc>
        <w:tc>
          <w:tcPr/>
          <w:p>
            <w:pPr>
              <w:pStyle w:val="Compact"/>
              <w:jc w:val="left"/>
            </w:pPr>
            <w:r>
              <w:t xml:space="preserve">"Direct EU Horizon Europe grant pipeline access via Brussels-based research coordinators"</w:t>
            </w:r>
          </w:p>
        </w:tc>
      </w:tr>
      <w:tr>
        <w:tc>
          <w:tcPr/>
          <w:p>
            <w:pPr>
              <w:pStyle w:val="Compact"/>
              <w:jc w:val="left"/>
            </w:pPr>
            <w:r>
              <w:t xml:space="preserve">Professional Network</w:t>
            </w:r>
          </w:p>
        </w:tc>
        <w:tc>
          <w:tcPr/>
          <w:p>
            <w:pPr>
              <w:pStyle w:val="Compact"/>
              <w:jc w:val="left"/>
            </w:pPr>
            <w:r>
              <w:t xml:space="preserve">"Opportunities to collaborate"</w:t>
            </w:r>
          </w:p>
        </w:tc>
        <w:tc>
          <w:tcPr/>
          <w:p>
            <w:pPr>
              <w:pStyle w:val="Compact"/>
              <w:jc w:val="left"/>
            </w:pPr>
            <w:r>
              <w:t xml:space="preserve">"Membership in 12+ Belgium Brussels policy working groups (e.g., Digital Europe, Climate Action Task Force)"</w:t>
            </w:r>
          </w:p>
        </w:tc>
      </w:tr>
      <w:tr>
        <w:tc>
          <w:tcPr/>
          <w:p>
            <w:pPr>
              <w:pStyle w:val="Compact"/>
              <w:jc w:val="left"/>
            </w:pPr>
            <w:r>
              <w:t xml:space="preserve">Relocation Value</w:t>
            </w:r>
          </w:p>
        </w:tc>
        <w:tc>
          <w:tcPr/>
          <w:p>
            <w:pPr>
              <w:pStyle w:val="Compact"/>
              <w:jc w:val="left"/>
            </w:pPr>
            <w:r>
              <w:t xml:space="preserve">"Tax benefits available"</w:t>
            </w:r>
          </w:p>
        </w:tc>
        <w:tc>
          <w:tcPr/>
          <w:p>
            <w:pPr>
              <w:pStyle w:val="Compact"/>
              <w:jc w:val="left"/>
            </w:pPr>
            <w:r>
              <w:t xml:space="preserve">"Brussels-specific tax optimization: 0% income tax on research stipends + relocation bonus for EU-qualified candidates"</w:t>
            </w:r>
          </w:p>
        </w:tc>
      </w:tr>
    </w:tbl>
    <w:p>
      <w:pPr>
        <w:pStyle w:val="BodyText"/>
      </w:pPr>
      <w:r>
        <w:t xml:space="preserve">This differentiation directly addressed the #1 concern in candidate surveys: "Will this role impact my European career trajectory?" The Belgium Brussels angle became our most compelling sales driver, with 79% of accepted candidates stating it was decisive.</w:t>
      </w:r>
    </w:p>
    <w:bookmarkEnd w:id="23"/>
    <w:bookmarkStart w:id="24" w:name="v.-quantitative-sales-performance"/>
    <w:p>
      <w:pPr>
        <w:pStyle w:val="Heading2"/>
      </w:pPr>
      <w:r>
        <w:t xml:space="preserve">V. Quantitative Sales Performance</w:t>
      </w:r>
    </w:p>
    <w:p>
      <w:pPr>
        <w:pStyle w:val="FirstParagraph"/>
      </w:pPr>
      <w:r>
        <w:t xml:space="preserve">Our campaign metrics exceed all KPIs in the Academic Researcher recruitment benchmarking:</w:t>
      </w:r>
    </w:p>
    <w:p>
      <w:pPr>
        <w:numPr>
          <w:ilvl w:val="0"/>
          <w:numId w:val="1002"/>
        </w:numPr>
        <w:pStyle w:val="Compact"/>
      </w:pPr>
      <w:r>
        <w:rPr>
          <w:bCs/>
          <w:b/>
        </w:rPr>
        <w:t xml:space="preserve">Application Quality:</w:t>
      </w:r>
      <w:r>
        <w:t xml:space="preserve"> </w:t>
      </w:r>
      <w:r>
        <w:t xml:space="preserve">87% of candidates held PhDs from top-100 global universities (vs. 63% industry average)</w:t>
      </w:r>
    </w:p>
    <w:p>
      <w:pPr>
        <w:numPr>
          <w:ilvl w:val="0"/>
          <w:numId w:val="1002"/>
        </w:numPr>
        <w:pStyle w:val="Compact"/>
      </w:pPr>
      <w:r>
        <w:rPr>
          <w:bCs/>
          <w:b/>
        </w:rPr>
        <w:t xml:space="preserve">Time-to-Fill:</w:t>
      </w:r>
      <w:r>
        <w:t xml:space="preserve"> </w:t>
      </w:r>
      <w:r>
        <w:t xml:space="preserve">Reduced by 42 days through targeted Belgium Brussels outreach</w:t>
      </w:r>
    </w:p>
    <w:p>
      <w:pPr>
        <w:numPr>
          <w:ilvl w:val="0"/>
          <w:numId w:val="1002"/>
        </w:numPr>
        <w:pStyle w:val="Compact"/>
      </w:pPr>
      <w:r>
        <w:rPr>
          <w:bCs/>
          <w:b/>
        </w:rPr>
        <w:t xml:space="preserve">Candidate Satisfaction:</w:t>
      </w:r>
      <w:r>
        <w:t xml:space="preserve"> </w:t>
      </w:r>
      <w:r>
        <w:t xml:space="preserve">9.4/10 for "Belgium Brussels value proposition" in post-hire surveys</w:t>
      </w:r>
    </w:p>
    <w:p>
      <w:pPr>
        <w:numPr>
          <w:ilvl w:val="0"/>
          <w:numId w:val="1002"/>
        </w:numPr>
        <w:pStyle w:val="Compact"/>
      </w:pPr>
      <w:r>
        <w:rPr>
          <w:bCs/>
          <w:b/>
        </w:rPr>
        <w:t xml:space="preserve">Talent Retention Projection:</w:t>
      </w:r>
      <w:r>
        <w:t xml:space="preserve"> </w:t>
      </w:r>
      <w:r>
        <w:t xml:space="preserve">89% predicted retention rate (vs. 67% sector average) due to strong Belgium Brussels ecosystem integration</w:t>
      </w:r>
    </w:p>
    <w:p>
      <w:pPr>
        <w:pStyle w:val="FirstParagraph"/>
      </w:pPr>
      <w:r>
        <w:t xml:space="preserve">Most significantly, 100% of the recruited Academic Researchers secured collaborative research partnerships within their first six months—directly attributable to Brussels' concentrated academic infrastructure.</w:t>
      </w:r>
    </w:p>
    <w:bookmarkEnd w:id="24"/>
    <w:bookmarkStart w:id="25" w:name="Xea95e5c4ac44a1e9e67f60c0b7dd502e41ce0b4"/>
    <w:p>
      <w:pPr>
        <w:pStyle w:val="Heading2"/>
      </w:pPr>
      <w:r>
        <w:t xml:space="preserve">VI. Strategic Recommendations for Future Academic Researcher Sales Campaigns in Belgium Brussels</w:t>
      </w:r>
    </w:p>
    <w:p>
      <w:pPr>
        <w:pStyle w:val="FirstParagraph"/>
      </w:pPr>
      <w:r>
        <w:t xml:space="preserve">Based on this campaign's success, we recommend:</w:t>
      </w:r>
    </w:p>
    <w:p>
      <w:pPr>
        <w:numPr>
          <w:ilvl w:val="0"/>
          <w:numId w:val="1003"/>
        </w:numPr>
        <w:pStyle w:val="Compact"/>
      </w:pPr>
      <w:r>
        <w:rPr>
          <w:bCs/>
          <w:b/>
        </w:rPr>
        <w:t xml:space="preserve">EU Policy Integration:</w:t>
      </w:r>
      <w:r>
        <w:t xml:space="preserve"> </w:t>
      </w:r>
      <w:r>
        <w:t xml:space="preserve">Develop mandatory modules on "Brussels policy navigation" for all incoming Academic Researchers to maximize their impact within the Belgium Brussels ecosystem.</w:t>
      </w:r>
    </w:p>
    <w:p>
      <w:pPr>
        <w:numPr>
          <w:ilvl w:val="0"/>
          <w:numId w:val="1003"/>
        </w:numPr>
        <w:pStyle w:val="Compact"/>
      </w:pPr>
      <w:r>
        <w:rPr>
          <w:bCs/>
          <w:b/>
        </w:rPr>
        <w:t xml:space="preserve">Multilingual Sales Materials:</w:t>
      </w:r>
      <w:r>
        <w:t xml:space="preserve"> </w:t>
      </w:r>
      <w:r>
        <w:t xml:space="preserve">Expand current English/French bilingual content to include Dutch and German—critical for full Belgium Brussels community engagement.</w:t>
      </w:r>
    </w:p>
    <w:p>
      <w:pPr>
        <w:numPr>
          <w:ilvl w:val="0"/>
          <w:numId w:val="1003"/>
        </w:numPr>
        <w:pStyle w:val="Compact"/>
      </w:pPr>
      <w:r>
        <w:rPr>
          <w:bCs/>
          <w:b/>
        </w:rPr>
        <w:t xml:space="preserve">Alumni Network Leverage:</w:t>
      </w:r>
      <w:r>
        <w:t xml:space="preserve"> </w:t>
      </w:r>
      <w:r>
        <w:t xml:space="preserve">Create a "Brussels Research Alumni" sales channel where former Academic Researchers become peer recruiters, highlighting their Belgium Brussels career advancements.</w:t>
      </w:r>
    </w:p>
    <w:bookmarkEnd w:id="25"/>
    <w:bookmarkStart w:id="26" w:name="X84735c25f7b24f8a6e52d024035eb90ee50d43f"/>
    <w:p>
      <w:pPr>
        <w:pStyle w:val="Heading2"/>
      </w:pPr>
      <w:r>
        <w:t xml:space="preserve">VII. Conclusion: The Unmatched Value of Belgium Brussels for Academic Careers</w:t>
      </w:r>
    </w:p>
    <w:p>
      <w:pPr>
        <w:pStyle w:val="FirstParagraph"/>
      </w:pPr>
      <w:r>
        <w:t xml:space="preserve">This Sales Report confirms that the intersection of academic excellence and European policy-making in Belgium Brussels creates an unparalleled value proposition for Academic Researchers. Our campaign didn't just fill a position—we positioned the role as a strategic career catalyst within one of Europe's most influential research hubs. The 147% fill rate and exceptional candidate quality prove that when sales messaging authentically integrates Belgium Brussels' unique ecosystem, it resonates powerfully with top-tier academic talent.</w:t>
      </w:r>
    </w:p>
    <w:p>
      <w:pPr>
        <w:pStyle w:val="BodyText"/>
      </w:pPr>
      <w:r>
        <w:t xml:space="preserve">As the European Research Area evolves, the ability to sell the Belgium Brussels advantage will become increasingly critical. This campaign sets a new benchmark: not merely recruiting Academic Researchers, but cultivating scholars who view Belgium Brussels as their central professional nexus. For institutions seeking to strengthen Europe's academic leadership, embedding "Belgium Brussels" into every Sales Report narrative isn't optional—it's the cornerstone of competitive talent acquisition.</w:t>
      </w:r>
    </w:p>
    <w:p>
      <w:pPr>
        <w:pStyle w:val="BodyText"/>
      </w:pPr>
      <w:r>
        <w:rPr>
          <w:bCs/>
          <w:b/>
        </w:rPr>
        <w:t xml:space="preserve">Prepared By:</w:t>
      </w:r>
      <w:r>
        <w:t xml:space="preserve"> </w:t>
      </w:r>
      <w:r>
        <w:t xml:space="preserve">Global Academic Talent Solutions Division</w:t>
      </w:r>
      <w:r>
        <w:br/>
      </w:r>
      <w:r>
        <w:rPr>
          <w:bCs/>
          <w:b/>
        </w:rPr>
        <w:t xml:space="preserve">Confidentiality:</w:t>
      </w:r>
      <w:r>
        <w:t xml:space="preserve"> </w:t>
      </w:r>
      <w:r>
        <w:t xml:space="preserve">This document contains proprietary sales strategy for Belgium Brussels academic recruitment initiatives. Distribution limited to authorized EU research management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Position in Belgium Brussels</dc:title>
  <dc:creator/>
  <dc:language>en</dc:language>
  <cp:keywords/>
  <dcterms:created xsi:type="dcterms:W3CDTF">2025-12-10T06:28:06Z</dcterms:created>
  <dcterms:modified xsi:type="dcterms:W3CDTF">2025-12-10T06:28:06Z</dcterms:modified>
</cp:coreProperties>
</file>

<file path=docProps/custom.xml><?xml version="1.0" encoding="utf-8"?>
<Properties xmlns="http://schemas.openxmlformats.org/officeDocument/2006/custom-properties" xmlns:vt="http://schemas.openxmlformats.org/officeDocument/2006/docPropsVTypes"/>
</file>