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Operations</w:t>
      </w:r>
      <w:r>
        <w:t xml:space="preserve"> </w:t>
      </w:r>
      <w:r>
        <w:t xml:space="preserve">in</w:t>
      </w:r>
      <w:r>
        <w:t xml:space="preserve"> </w:t>
      </w:r>
      <w:r>
        <w:t xml:space="preserve">Brazil</w:t>
      </w:r>
      <w:r>
        <w:t xml:space="preserve"> </w:t>
      </w:r>
      <w:r>
        <w:t xml:space="preserve">Brasília</w:t>
      </w:r>
    </w:p>
    <w:bookmarkStart w:id="27" w:name="Xa71fc49e069da4df11dbde065523ed06cd13e31"/>
    <w:p>
      <w:pPr>
        <w:pStyle w:val="Heading1"/>
      </w:pPr>
      <w:r>
        <w:t xml:space="preserve">Comprehensive Sales Report: Academic Researcher Market Performance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Academic Innovation Division</w:t>
      </w:r>
      <w:r>
        <w:br/>
      </w:r>
      <w:r>
        <w:rPr>
          <w:bCs/>
          <w:b/>
        </w:rPr>
        <w:t xml:space="preserve">Report Period:</w:t>
      </w:r>
      <w:r>
        <w:t xml:space="preserve"> </w:t>
      </w:r>
      <w:r>
        <w:t xml:space="preserve">January 1 – September 30, 2023</w:t>
      </w:r>
      <w:r>
        <w:br/>
      </w:r>
      <w:r>
        <w:rPr>
          <w:bCs/>
          <w:b/>
        </w:rPr>
        <w:t xml:space="preserve">Sales Territory:</w:t>
      </w:r>
      <w:r>
        <w:t xml:space="preserve"> </w:t>
      </w:r>
      <w:r>
        <w:t xml:space="preserve">Brazil Brasília Federal District</w:t>
      </w:r>
    </w:p>
    <w:bookmarkStart w:id="20" w:name="i.-executive-summary"/>
    <w:p>
      <w:pPr>
        <w:pStyle w:val="Heading2"/>
      </w:pPr>
      <w:r>
        <w:t xml:space="preserve">I. Executive Summary</w:t>
      </w:r>
    </w:p>
    <w:p>
      <w:pPr>
        <w:pStyle w:val="FirstParagraph"/>
      </w:pPr>
      <w:r>
        <w:t xml:space="preserve">This Sales Report documents the operational performance of Academic Researcher services within Brazil's capital city, Brasília. As a strategic hub for federal research institutions and higher education, Brasília represents a critical market for academic technology solutions. The period under review demonstrates exceptional growth in demand for specialized researcher support services across Brazilian universities and government research bodies. Key achievements include a 42% year-over-year increase in Academic Researcher service contracts, with Brasília accounting for 37% of total national sales volume. This report details market dynamics, strategic initiatives, and forward-looking recommendations tailored to the unique ecosystem of Brazil's academic capital.</w:t>
      </w:r>
    </w:p>
    <w:bookmarkEnd w:id="20"/>
    <w:bookmarkStart w:id="21" w:name="Xcfddfd0d539e8c831319ad5cb5e03f82c6960e0"/>
    <w:p>
      <w:pPr>
        <w:pStyle w:val="Heading2"/>
      </w:pPr>
      <w:r>
        <w:t xml:space="preserve">II. Market Context: Brasília as an Academic Research Epicenter</w:t>
      </w:r>
    </w:p>
    <w:p>
      <w:pPr>
        <w:pStyle w:val="FirstParagraph"/>
      </w:pPr>
      <w:r>
        <w:t xml:space="preserve">Brasília's status as Brazil's political and administrative center directly fuels its position as a magnet for academic research activity. Home to 14 major universities including the University of Brasília (UnB), the Federal University of Brasília (DF), and numerous federal research institutes, the city houses over 28,000 active researchers. The local concentration of</w:t>
      </w:r>
      <w:r>
        <w:t xml:space="preserve"> </w:t>
      </w:r>
      <w:r>
        <w:rPr>
          <w:iCs/>
          <w:i/>
        </w:rPr>
        <w:t xml:space="preserve">CNPq</w:t>
      </w:r>
      <w:r>
        <w:t xml:space="preserve"> </w:t>
      </w:r>
      <w:r>
        <w:t xml:space="preserve">(National Council for Scientific and Technological Development) offices,</w:t>
      </w:r>
      <w:r>
        <w:t xml:space="preserve"> </w:t>
      </w:r>
      <w:r>
        <w:rPr>
          <w:iCs/>
          <w:i/>
        </w:rPr>
        <w:t xml:space="preserve">CAPES</w:t>
      </w:r>
      <w:r>
        <w:t xml:space="preserve"> </w:t>
      </w:r>
      <w:r>
        <w:t xml:space="preserve">(Coordination for the Improvement of Higher Education Personnel) headquarters, and federal laboratories creates an unparalleled environment for academic commercialization. Our Sales Report analysis confirms that Brasília accounts for 31% of all high-value Academic Researcher service contracts in Brazil—surpassing even São Paulo's market in terms of institutional partnership density.</w:t>
      </w:r>
    </w:p>
    <w:bookmarkEnd w:id="21"/>
    <w:bookmarkStart w:id="22" w:name="X76bd4a14fe4fd3bf5068330f0f5d1f811e164a5"/>
    <w:p>
      <w:pPr>
        <w:pStyle w:val="Heading2"/>
      </w:pPr>
      <w:r>
        <w:t xml:space="preserve">III. Sales Performance Metrics (January–September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YoY Change</w:t>
      </w:r>
    </w:p>
    <w:p>
      <w:pPr>
        <w:pStyle w:val="BodyText"/>
      </w:pPr>
      <w:r>
        <w:t xml:space="preserve">New Academic Researcher Contracts (Brasília)</w:t>
      </w:r>
    </w:p>
    <w:p>
      <w:pPr>
        <w:pStyle w:val="BodyText"/>
      </w:pPr>
      <w:r>
        <w:t xml:space="preserve">R$ 1.85M</w:t>
      </w:r>
    </w:p>
    <w:p>
      <w:pPr>
        <w:pStyle w:val="BodyText"/>
      </w:pPr>
      <w:r>
        <w:t xml:space="preserve">R$ 4.27M</w:t>
      </w:r>
    </w:p>
    <w:p>
      <w:pPr>
        <w:pStyle w:val="BodyText"/>
      </w:pPr>
      <w:r>
        <w:t xml:space="preserve">+130%</w:t>
      </w:r>
    </w:p>
    <w:p>
      <w:pPr>
        <w:pStyle w:val="BodyText"/>
      </w:pPr>
      <w:r>
        <w:t xml:space="preserve">University Partnership Growth</w:t>
      </w:r>
    </w:p>
    <w:p>
      <w:pPr>
        <w:pStyle w:val="BodyText"/>
      </w:pPr>
      <w:r>
        <w:t xml:space="preserve">4 Institutions</w:t>
      </w:r>
    </w:p>
    <w:p>
      <w:pPr>
        <w:pStyle w:val="BodyText"/>
      </w:pPr>
      <w:r>
        <w:t xml:space="preserve">&lt;</w:t>
      </w:r>
    </w:p>
    <w:p>
      <w:pPr>
        <w:pStyle w:val="BodyText"/>
      </w:pPr>
      <w:r>
        <w:t xml:space="preserve">17 Institutions</w:t>
      </w:r>
    </w:p>
    <w:p>
      <w:pPr>
        <w:pStyle w:val="BodyText"/>
      </w:pPr>
      <w:r>
        <w:t xml:space="preserve">&lt;</w:t>
      </w:r>
    </w:p>
    <w:p>
      <w:pPr>
        <w:pStyle w:val="BodyText"/>
      </w:pPr>
      <w:r>
        <w:t xml:space="preserve">+325%</w:t>
      </w:r>
    </w:p>
    <w:p>
      <w:pPr>
        <w:pStyle w:val="BodyText"/>
      </w:pPr>
      <w:r>
        <w:t xml:space="preserve">Average Contract Value (ACV)</w:t>
      </w:r>
    </w:p>
    <w:p>
      <w:pPr>
        <w:pStyle w:val="BodyText"/>
      </w:pPr>
      <w:r>
        <w:t xml:space="preserve">R$ 48,000</w:t>
      </w:r>
    </w:p>
    <w:p>
      <w:pPr>
        <w:pStyle w:val="BodyText"/>
      </w:pPr>
      <w:r>
        <w:t xml:space="preserve">R$ 62,500</w:t>
      </w:r>
    </w:p>
    <w:p>
      <w:pPr>
        <w:pStyle w:val="BodyText"/>
      </w:pPr>
      <w:r>
        <w:t xml:space="preserve">+29%</w:t>
      </w:r>
    </w:p>
    <w:p>
      <w:pPr>
        <w:pStyle w:val="BodyText"/>
      </w:pPr>
      <w:r>
        <w:t xml:space="preserve">Research Grant Support Success Rate</w:t>
      </w:r>
    </w:p>
    <w:p>
      <w:pPr>
        <w:pStyle w:val="BodyText"/>
      </w:pPr>
      <w:r>
        <w:t xml:space="preserve">68%</w:t>
      </w:r>
    </w:p>
    <w:p>
      <w:pPr>
        <w:pStyle w:val="BodyText"/>
      </w:pPr>
      <w:r>
        <w:t xml:space="preserve">&lt;</w:t>
      </w:r>
    </w:p>
    <w:p>
      <w:pPr>
        <w:pStyle w:val="BodyText"/>
      </w:pPr>
      <w:r>
        <w:t xml:space="preserve">87%</w:t>
      </w:r>
    </w:p>
    <w:p>
      <w:pPr>
        <w:pStyle w:val="BodyText"/>
      </w:pPr>
      <w:r>
        <w:t xml:space="preserve">+19 pts.</w:t>
      </w:r>
    </w:p>
    <w:p>
      <w:pPr>
        <w:pStyle w:val="BodyText"/>
      </w:pPr>
      <w:r>
        <w:t xml:space="preserve">The most significant driver of this growth has been the Brazilian Ministry of Science, Technology and Innovation's new</w:t>
      </w:r>
      <w:r>
        <w:t xml:space="preserve"> </w:t>
      </w:r>
      <w:r>
        <w:rPr>
          <w:iCs/>
          <w:i/>
        </w:rPr>
        <w:t xml:space="preserve">"Research Acceleration Program"</w:t>
      </w:r>
      <w:r>
        <w:t xml:space="preserve">, which prioritizes digital research infrastructure in federal capital cities. Our Academic Researcher team in Brasília achieved a 92% contract renewal rate through specialized grant-writing support for CNPq-funded projects—a critical differentiator in this market where government funding constitutes 76% of research budgets.</w:t>
      </w:r>
    </w:p>
    <w:bookmarkEnd w:id="22"/>
    <w:bookmarkStart w:id="23" w:name="Xce604da099c1fb998df7e8e07e38431db80e0c7"/>
    <w:p>
      <w:pPr>
        <w:pStyle w:val="Heading2"/>
      </w:pPr>
      <w:r>
        <w:t xml:space="preserve">IV. Key Strategic Initiatives Driving Success</w:t>
      </w:r>
    </w:p>
    <w:p>
      <w:pPr>
        <w:pStyle w:val="FirstParagraph"/>
      </w:pPr>
      <w:r>
        <w:rPr>
          <w:bCs/>
          <w:b/>
        </w:rPr>
        <w:t xml:space="preserve">A. Brasília-Specific Academic Partnership Framework:</w:t>
      </w:r>
      <w:r>
        <w:t xml:space="preserve"> </w:t>
      </w:r>
      <w:r>
        <w:t xml:space="preserve">We developed a localized sales methodology recognizing Brasília's unique institutional hierarchy. Our Academic Researcher representatives now conduct monthly coordination meetings with CAPES regional directors, directly aligning service offerings with national research priorities outlined in Brazil's 2023 Science and Technology Plan. This approach generated 14 new contracts from federal institutions within six months.</w:t>
      </w:r>
    </w:p>
    <w:p>
      <w:pPr>
        <w:pStyle w:val="BodyText"/>
      </w:pPr>
      <w:r>
        <w:rPr>
          <w:bCs/>
          <w:b/>
        </w:rPr>
        <w:t xml:space="preserve">B. Cultural Integration in Service Delivery:</w:t>
      </w:r>
      <w:r>
        <w:t xml:space="preserve"> </w:t>
      </w:r>
      <w:r>
        <w:t xml:space="preserve">Understanding Brazil's academic culture was pivotal. Our Brasília-based Academic Researcher team implemented "Horas de Atendimento" (Consultation Hours) during traditional academic afternoons, and integrated Portuguese-language technical documentation with Brazilian citation standards (ABNT NBR 6023). This reduced onboarding time by 47% compared to national averages.</w:t>
      </w:r>
    </w:p>
    <w:p>
      <w:pPr>
        <w:pStyle w:val="BodyText"/>
      </w:pPr>
      <w:r>
        <w:rPr>
          <w:bCs/>
          <w:b/>
        </w:rPr>
        <w:t xml:space="preserve">C. Technology Adoption in Research Ecosystems:</w:t>
      </w:r>
      <w:r>
        <w:t xml:space="preserve"> </w:t>
      </w:r>
      <w:r>
        <w:t xml:space="preserve">We deployed a cloud-based research analytics platform co-developed with UnB's Innovation Center, providing real-time grant tracking and compliance monitoring. This solution was adopted by 12 major Brasília institutions, directly contributing to our 37% market share increase among university research offices.</w:t>
      </w:r>
    </w:p>
    <w:bookmarkEnd w:id="23"/>
    <w:bookmarkStart w:id="24" w:name="v.-challenges-in-brazil-brasília-market"/>
    <w:p>
      <w:pPr>
        <w:pStyle w:val="Heading2"/>
      </w:pPr>
      <w:r>
        <w:t xml:space="preserve">V. Challenges in Brazil Brasília Market</w:t>
      </w:r>
    </w:p>
    <w:p>
      <w:pPr>
        <w:pStyle w:val="FirstParagraph"/>
      </w:pPr>
      <w:r>
        <w:t xml:space="preserve">Despite strong performance, two persistent challenges require strategic attention:</w:t>
      </w:r>
    </w:p>
    <w:p>
      <w:pPr>
        <w:numPr>
          <w:ilvl w:val="0"/>
          <w:numId w:val="1001"/>
        </w:numPr>
        <w:pStyle w:val="Compact"/>
      </w:pPr>
      <w:r>
        <w:rPr>
          <w:iCs/>
          <w:i/>
        </w:rPr>
        <w:t xml:space="preserve">Regulatory Complexity:</w:t>
      </w:r>
      <w:r>
        <w:t xml:space="preserve"> </w:t>
      </w:r>
      <w:r>
        <w:t xml:space="preserve">Brazilian federal research compliance (especially for CAPES-funded projects) involves 38 distinct documentation requirements. Our Academic Researcher team in Brasília invested 220+ hours monthly in navigating these protocols, consuming 34% of sales cycle time.</w:t>
      </w:r>
    </w:p>
    <w:p>
      <w:pPr>
        <w:numPr>
          <w:ilvl w:val="0"/>
          <w:numId w:val="1001"/>
        </w:numPr>
        <w:pStyle w:val="Compact"/>
      </w:pPr>
      <w:r>
        <w:rPr>
          <w:iCs/>
          <w:i/>
        </w:rPr>
        <w:t xml:space="preserve">Competitive Landscape:</w:t>
      </w:r>
      <w:r>
        <w:t xml:space="preserve"> </w:t>
      </w:r>
      <w:r>
        <w:t xml:space="preserve">Local academic consulting firms often undercut pricing by 15–20% due to lower operational costs. Our solution focuses on value-based pricing centered on grant success rates rather than hourly fees—a positioning validated when our Academic Researcher services achieved 4.3x higher ROI for clients than competitors.</w:t>
      </w:r>
    </w:p>
    <w:bookmarkEnd w:id="24"/>
    <w:bookmarkStart w:id="25" w:name="Xc49d9981a9b22d543c3f4847308ef208f1a558a"/>
    <w:p>
      <w:pPr>
        <w:pStyle w:val="Heading2"/>
      </w:pPr>
      <w:r>
        <w:t xml:space="preserve">VI. Future Strategy: Optimizing Academic Researcher Sales in Brasília</w:t>
      </w:r>
    </w:p>
    <w:p>
      <w:pPr>
        <w:pStyle w:val="FirstParagraph"/>
      </w:pPr>
      <w:r>
        <w:t xml:space="preserve">Based on this Sales Report analysis, we recommend three priorities for the next fiscal year:</w:t>
      </w:r>
    </w:p>
    <w:p>
      <w:pPr>
        <w:numPr>
          <w:ilvl w:val="0"/>
          <w:numId w:val="1002"/>
        </w:numPr>
        <w:pStyle w:val="Compact"/>
      </w:pPr>
      <w:r>
        <w:rPr>
          <w:bCs/>
          <w:b/>
        </w:rPr>
        <w:t xml:space="preserve">National Institute Integration:</w:t>
      </w:r>
      <w:r>
        <w:t xml:space="preserve"> </w:t>
      </w:r>
      <w:r>
        <w:t xml:space="preserve">Develop a formal partnership with Brasília's National Center for Scientific and Technological Information (CNPq-Brasília) to co-host quarterly "Research Funding Acceleration" workshops. This will position our Academic Researcher team as mandatory partners for federal grant applications.</w:t>
      </w:r>
    </w:p>
    <w:p>
      <w:pPr>
        <w:numPr>
          <w:ilvl w:val="0"/>
          <w:numId w:val="1002"/>
        </w:numPr>
        <w:pStyle w:val="Compact"/>
      </w:pPr>
      <w:r>
        <w:rPr>
          <w:bCs/>
          <w:b/>
        </w:rPr>
        <w:t xml:space="preserve">Tech-Enhanced Service Suite:</w:t>
      </w:r>
      <w:r>
        <w:t xml:space="preserve"> </w:t>
      </w:r>
      <w:r>
        <w:t xml:space="preserve">Launch Brazil-specific AI tools for Brasília researchers, including automated compliance checks against ABNT standards and predictive grant success analytics. Initial pilot with UnB's engineering faculty increased proposal conversion by 31%.</w:t>
      </w:r>
    </w:p>
    <w:p>
      <w:pPr>
        <w:numPr>
          <w:ilvl w:val="0"/>
          <w:numId w:val="1002"/>
        </w:numPr>
        <w:pStyle w:val="Compact"/>
      </w:pPr>
      <w:r>
        <w:rPr>
          <w:bCs/>
          <w:b/>
        </w:rPr>
        <w:t xml:space="preserve">Regional Talent Development:</w:t>
      </w:r>
      <w:r>
        <w:t xml:space="preserve"> </w:t>
      </w:r>
      <w:r>
        <w:t xml:space="preserve">Establish a dedicated Academic Researcher training center in Brasília focused on Brazilian research protocols. This addresses the critical talent gap—only 28% of national Academic Researcher staff hold Brazil-specific research compliance certifications.</w:t>
      </w:r>
    </w:p>
    <w:bookmarkEnd w:id="25"/>
    <w:bookmarkStart w:id="26" w:name="vii.-conclusion-the-brasília-imperative"/>
    <w:p>
      <w:pPr>
        <w:pStyle w:val="Heading2"/>
      </w:pPr>
      <w:r>
        <w:t xml:space="preserve">VII. Conclusion: The Brasília Imperative</w:t>
      </w:r>
    </w:p>
    <w:p>
      <w:pPr>
        <w:pStyle w:val="FirstParagraph"/>
      </w:pPr>
      <w:r>
        <w:t xml:space="preserve">This Sales Report unequivocally confirms Brasília's strategic importance as the nerve center for academic research commercialization in Brazil. The 42% YoY growth in Academic Researcher service sales within this territory directly correlates with federal policy shifts toward open innovation. Crucially, our data shows that every R$1 invested in Brasília-based Academic Researcher services generates R$7.30 in client research grant success—outperforming all other Brazilian regions by 22%. As Brazil advances its National Science Plan, the city's concentration of decision-makers makes it non-negotiable for academic service providers. We project that maintaining our current growth trajectory will position us to capture 50%+ market share in Brasília Academic Researcher services by Q4 2024, delivering substantial revenue growth and cementing our leadership in Brazil's research ecosystem.</w:t>
      </w:r>
    </w:p>
    <w:p>
      <w:pPr>
        <w:pStyle w:val="BodyText"/>
      </w:pPr>
      <w:r>
        <w:rPr>
          <w:bCs/>
          <w:b/>
        </w:rPr>
        <w:t xml:space="preserve">Prepared By:</w:t>
      </w:r>
      <w:r>
        <w:t xml:space="preserve"> </w:t>
      </w:r>
      <w:r>
        <w:t xml:space="preserve">Dr. Ana Silva, Senior Academic Researcher &amp; Sales Strategist</w:t>
      </w:r>
      <w:r>
        <w:br/>
      </w:r>
      <w:r>
        <w:rPr>
          <w:bCs/>
          <w:b/>
        </w:rPr>
        <w:t xml:space="preserve">Academic Verification:</w:t>
      </w:r>
      <w:r>
        <w:t xml:space="preserve"> </w:t>
      </w:r>
      <w:r>
        <w:t xml:space="preserve">Certified CNPq Research Manager (Certificate #BR-ACR-7894)</w:t>
      </w:r>
      <w:r>
        <w:br/>
      </w:r>
      <w:r>
        <w:rPr>
          <w:bCs/>
          <w:b/>
        </w:rPr>
        <w:t xml:space="preserve">Report Accuracy:</w:t>
      </w:r>
      <w:r>
        <w:t xml:space="preserve"> </w:t>
      </w:r>
      <w:r>
        <w:t xml:space="preserve">Verified against Brasília Federal District University System records and CAPES 2023 funding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Operations in Brazil Brasília</dc:title>
  <dc:creator/>
  <dc:language>en</dc:language>
  <cp:keywords/>
  <dcterms:created xsi:type="dcterms:W3CDTF">2025-12-10T13:59:56Z</dcterms:created>
  <dcterms:modified xsi:type="dcterms:W3CDTF">2025-12-10T13:59:56Z</dcterms:modified>
</cp:coreProperties>
</file>

<file path=docProps/custom.xml><?xml version="1.0" encoding="utf-8"?>
<Properties xmlns="http://schemas.openxmlformats.org/officeDocument/2006/custom-properties" xmlns:vt="http://schemas.openxmlformats.org/officeDocument/2006/docPropsVTypes"/>
</file>