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398e04ca9d34fc4f6183eee1a107b1127a78949"/>
    <w:p>
      <w:pPr>
        <w:pStyle w:val="Heading1"/>
      </w:pPr>
      <w:r>
        <w:t xml:space="preserve">Sales Report: Academic Researcher Services Performance Analysis in Brazil Rio de Janeiro</w:t>
      </w:r>
    </w:p>
    <w:bookmarkStart w:id="20" w:name="introduction"/>
    <w:p>
      <w:pPr>
        <w:pStyle w:val="Heading2"/>
      </w:pPr>
      <w:r>
        <w:t xml:space="preserve">Introduction</w:t>
      </w:r>
    </w:p>
    <w:p>
      <w:pPr>
        <w:pStyle w:val="FirstParagraph"/>
      </w:pPr>
      <w:r>
        <w:t xml:space="preserve">This comprehensive Sales Report details the performance of our academic research services across the vibrant metropolitan hub of Brazil Rio de Janeiro. As a leading provider of specialized knowledge solutions, we have strategically positioned our Academic Researcher network to address the unique demands of Brazil's evolving research ecosystem. The report covers Q3 2023 sales metrics, market analysis, client engagement patterns, and strategic recommendations specifically tailored to the Rio de Janeiro market. This document underscores how our Academic Researcher expertise directly contributes to revenue growth in one of South America's most dynamic scientific centers.</w:t>
      </w:r>
    </w:p>
    <w:bookmarkEnd w:id="20"/>
    <w:bookmarkStart w:id="21" w:name="Xb9955ee8722252c225facd648d2a1665edec546"/>
    <w:p>
      <w:pPr>
        <w:pStyle w:val="Heading2"/>
      </w:pPr>
      <w:r>
        <w:t xml:space="preserve">Market Context: Rio de Janeiro as a Research Nexus</w:t>
      </w:r>
    </w:p>
    <w:p>
      <w:pPr>
        <w:pStyle w:val="FirstParagraph"/>
      </w:pPr>
      <w:r>
        <w:t xml:space="preserve">Rio de Janeiro remains Brazil's premier academic capital, housing 47% of the country's top-tier research institutions including the Federal University of Rio de Janeiro (UFRJ), Fluminense Federal University (UFF), and Oswaldo Cruz Foundation. The city generates over 35% of Brazil's scientific publications annually, creating exceptional demand for high-caliber Academic Researcher services. This Sales Report highlights our targeted expansion in Rio, where we've observed a 28% year-over-year increase in research service requests since establishing our regional office in Copacabana (2021). Our Academic Researcher team has become instrumental in capturing this market growth through specialized offerings aligned with Rio's research priorities: environmental science (Amazon/Atlantic Forest studies), public health (dengue/zika epidemiology), and urban sustainability initiatives.</w:t>
      </w:r>
    </w:p>
    <w:bookmarkEnd w:id="21"/>
    <w:bookmarkStart w:id="22" w:name="q3-2023-sales-performance-highlights"/>
    <w:p>
      <w:pPr>
        <w:pStyle w:val="Heading2"/>
      </w:pPr>
      <w:r>
        <w:t xml:space="preserve">Q3 2023 Sales Performance Highlights</w:t>
      </w:r>
    </w:p>
    <w:p>
      <w:pPr>
        <w:pStyle w:val="FirstParagraph"/>
      </w:pPr>
      <w:r>
        <w:t xml:space="preserve">Our Brazil Rio de Janeiro operations achieved remarkable milestones this quarter, with total revenue reaching R$ 1.87M (≈ $365K USD), marking a 41% increase from Q2. The Academic Researcher division contributed 78% of this figure through three key service lines:</w:t>
      </w:r>
    </w:p>
    <w:p>
      <w:pPr>
        <w:numPr>
          <w:ilvl w:val="0"/>
          <w:numId w:val="1001"/>
        </w:numPr>
        <w:pStyle w:val="Compact"/>
      </w:pPr>
      <w:r>
        <w:rPr>
          <w:bCs/>
          <w:b/>
        </w:rPr>
        <w:t xml:space="preserve">Specialized Data Analysis:</w:t>
      </w:r>
      <w:r>
        <w:t xml:space="preserve"> </w:t>
      </w:r>
      <w:r>
        <w:t xml:space="preserve">32% revenue share (R$ 600K) - Including climate modeling for Rio's municipal environmental agency</w:t>
      </w:r>
    </w:p>
    <w:p>
      <w:pPr>
        <w:numPr>
          <w:ilvl w:val="0"/>
          <w:numId w:val="1001"/>
        </w:numPr>
        <w:pStyle w:val="Compact"/>
      </w:pPr>
      <w:r>
        <w:rPr>
          <w:bCs/>
          <w:b/>
        </w:rPr>
        <w:t xml:space="preserve">Grant Proposal Development:</w:t>
      </w:r>
      <w:r>
        <w:t xml:space="preserve"> </w:t>
      </w:r>
      <w:r>
        <w:t xml:space="preserve">29% revenue share (R$ 543K) - Focused on CAPES/FAPEMIG funding applications for university researchers</w:t>
      </w:r>
    </w:p>
    <w:p>
      <w:pPr>
        <w:numPr>
          <w:ilvl w:val="0"/>
          <w:numId w:val="1001"/>
        </w:numPr>
        <w:pStyle w:val="Compact"/>
      </w:pPr>
      <w:r>
        <w:rPr>
          <w:bCs/>
          <w:b/>
        </w:rPr>
        <w:t xml:space="preserve">Market Intelligence Reports:</w:t>
      </w:r>
      <w:r>
        <w:t xml:space="preserve"> </w:t>
      </w:r>
      <w:r>
        <w:t xml:space="preserve">21% revenue share (R$ 393K) - Custom studies on biotech trends for Rio-based startups</w:t>
      </w:r>
    </w:p>
    <w:p>
      <w:pPr>
        <w:pStyle w:val="FirstParagraph"/>
      </w:pPr>
      <w:r>
        <w:t xml:space="preserve">Notably, the Academic Researcher team exceeded sales targets by 18% through strategic partnerships with UFRJ's Center for Environmental Studies and Fiocruz's health research division. The average deal size increased to R$ 42,500 from R$ 36,200 in Q2, reflecting higher-value engagements with municipal and federal clients.</w:t>
      </w:r>
    </w:p>
    <w:bookmarkEnd w:id="22"/>
    <w:bookmarkStart w:id="23" w:name="client-segmentation-engagement-patterns"/>
    <w:p>
      <w:pPr>
        <w:pStyle w:val="Heading2"/>
      </w:pPr>
      <w:r>
        <w:t xml:space="preserve">Client Segmentation &amp; Engagement Patterns</w:t>
      </w:r>
    </w:p>
    <w:p>
      <w:pPr>
        <w:pStyle w:val="FirstParagraph"/>
      </w:pPr>
      <w:r>
        <w:t xml:space="preserve">This Sales Report reveals distinct client profiles driving our Rio de Janeiro success: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Segment</w:t>
            </w:r>
          </w:p>
        </w:tc>
        <w:tc>
          <w:tcPr/>
          <w:p>
            <w:pPr>
              <w:pStyle w:val="Compact"/>
              <w:jc w:val="left"/>
            </w:pPr>
            <w:r>
              <w:t xml:space="preserve">Revenue Contribution</w:t>
            </w:r>
          </w:p>
        </w:tc>
        <w:tc>
          <w:tcPr/>
          <w:p>
            <w:pPr>
              <w:pStyle w:val="Compact"/>
              <w:jc w:val="left"/>
            </w:pPr>
            <w:r>
              <w:t xml:space="preserve">Key Academic Researcher Services Used</w:t>
            </w:r>
          </w:p>
        </w:tc>
        <w:tc>
          <w:tcPr/>
          <w:p>
            <w:pPr>
              <w:pStyle w:val="Compact"/>
              <w:jc w:val="left"/>
            </w:pPr>
            <w:r>
              <w:t xml:space="preserve">Growth Trend (YoY)</w:t>
            </w:r>
          </w:p>
        </w:tc>
      </w:tr>
      <w:tr>
        <w:tc>
          <w:tcPr/>
          <w:p>
            <w:pPr>
              <w:pStyle w:val="Compact"/>
              <w:jc w:val="left"/>
            </w:pPr>
            <w:r>
              <w:t xml:space="preserve">Public Universities (UFRJ, UFF, PUC-Rio)</w:t>
            </w:r>
          </w:p>
        </w:tc>
        <w:tc>
          <w:tcPr/>
          <w:p>
            <w:pPr>
              <w:pStyle w:val="Compact"/>
              <w:jc w:val="left"/>
            </w:pPr>
            <w:r>
              <w:t xml:space="preserve">52%</w:t>
            </w:r>
          </w:p>
        </w:tc>
        <w:tc>
          <w:tcPr/>
          <w:p>
            <w:pPr>
              <w:pStyle w:val="Compact"/>
              <w:jc w:val="left"/>
            </w:pPr>
            <w:r>
              <w:t xml:space="preserve">Data collection design, statistical analysis, publication support</w:t>
            </w:r>
          </w:p>
        </w:tc>
        <w:tc>
          <w:tcPr/>
          <w:p>
            <w:pPr>
              <w:pStyle w:val="Compact"/>
              <w:jc w:val="left"/>
            </w:pPr>
            <w:r>
              <w:t xml:space="preserve">+37%</w:t>
            </w:r>
          </w:p>
        </w:tc>
      </w:tr>
      <w:tr>
        <w:tc>
          <w:tcPr/>
          <w:p>
            <w:pPr>
              <w:pStyle w:val="Compact"/>
              <w:jc w:val="left"/>
            </w:pPr>
            <w:r>
              <w:t xml:space="preserve">Government Agencies (SEMA-RJ, Rio de Janeiro City Hall)</w:t>
            </w:r>
          </w:p>
        </w:tc>
        <w:tc>
          <w:tcPr/>
          <w:p>
            <w:pPr>
              <w:pStyle w:val="Compact"/>
              <w:jc w:val="left"/>
            </w:pPr>
            <w:r>
              <w:t xml:space="preserve">28%</w:t>
            </w:r>
          </w:p>
        </w:tc>
        <w:tc>
          <w:tcPr/>
          <w:p>
            <w:pPr>
              <w:pStyle w:val="Compact"/>
              <w:jc w:val="left"/>
            </w:pPr>
            <w:r>
              <w:t xml:space="preserve">Urban sustainability studies, environmental impact reports</w:t>
            </w:r>
          </w:p>
        </w:tc>
        <w:tc>
          <w:tcPr/>
          <w:p>
            <w:pPr>
              <w:pStyle w:val="Compact"/>
              <w:jc w:val="left"/>
            </w:pPr>
            <w:r>
              <w:t xml:space="preserve">+49%</w:t>
            </w:r>
          </w:p>
        </w:tc>
      </w:tr>
      <w:tr>
        <w:tc>
          <w:tcPr/>
          <w:p>
            <w:pPr>
              <w:pStyle w:val="Compact"/>
              <w:jc w:val="left"/>
            </w:pPr>
            <w:r>
              <w:t xml:space="preserve">Biotech/Pharma Startups (Barra da Tijuca Cluster)</w:t>
            </w:r>
          </w:p>
        </w:tc>
        <w:tc>
          <w:tcPr/>
          <w:p>
            <w:pPr>
              <w:pStyle w:val="Compact"/>
              <w:jc w:val="left"/>
            </w:pPr>
            <w:r>
              <w:t xml:space="preserve">15%</w:t>
            </w:r>
          </w:p>
        </w:tc>
        <w:tc>
          <w:tcPr/>
          <w:p>
            <w:pPr>
              <w:pStyle w:val="Compact"/>
              <w:jc w:val="left"/>
            </w:pPr>
            <w:r>
              <w:t xml:space="preserve">Tech market analysis, clinical trial support</w:t>
            </w:r>
          </w:p>
        </w:tc>
        <w:tc>
          <w:tcPr/>
          <w:p>
            <w:pPr>
              <w:pStyle w:val="Compact"/>
              <w:jc w:val="left"/>
            </w:pPr>
            <w:r>
              <w:t xml:space="preserve">+62%</w:t>
            </w:r>
          </w:p>
        </w:tc>
      </w:tr>
      <w:tr>
        <w:tc>
          <w:tcPr/>
          <w:p>
            <w:pPr>
              <w:pStyle w:val="Compact"/>
              <w:jc w:val="left"/>
            </w:pPr>
            <w:r>
              <w:t xml:space="preserve">International Research Consortia (EU-Brazil Projects)</w:t>
            </w:r>
          </w:p>
        </w:tc>
        <w:tc>
          <w:tcPr/>
          <w:p>
            <w:pPr>
              <w:pStyle w:val="Compact"/>
              <w:jc w:val="left"/>
            </w:pPr>
            <w:r>
              <w:t xml:space="preserve">5%</w:t>
            </w:r>
          </w:p>
        </w:tc>
        <w:tc>
          <w:tcPr/>
          <w:p>
            <w:pPr>
              <w:pStyle w:val="Compact"/>
              <w:jc w:val="left"/>
            </w:pPr>
            <w:r>
              <w:t xml:space="preserve">Cross-border research coordination</w:t>
            </w:r>
          </w:p>
        </w:tc>
        <w:tc>
          <w:tcPr/>
          <w:p>
            <w:pPr>
              <w:pStyle w:val="Compact"/>
              <w:jc w:val="left"/>
            </w:pPr>
            <w:r>
              <w:t xml:space="preserve">+200% (new segment)</w:t>
            </w:r>
          </w:p>
        </w:tc>
      </w:tr>
    </w:tbl>
    <w:p>
      <w:pPr>
        <w:pStyle w:val="BodyText"/>
      </w:pPr>
      <w:r>
        <w:t xml:space="preserve">The data confirms that Academic Researcher services are now critical to Rio's research financing ecosystem. 68% of new clients were acquired through academic referrals—demonstrating the trust our researchers have built within Rio's scientific community.</w:t>
      </w:r>
    </w:p>
    <w:bookmarkEnd w:id="23"/>
    <w:bookmarkStart w:id="24" w:name="Xe52d5f8209282a4ece3e4f1d2bdf7ad353392ad"/>
    <w:p>
      <w:pPr>
        <w:pStyle w:val="Heading2"/>
      </w:pPr>
      <w:r>
        <w:t xml:space="preserve">Challenges in Brazil Rio de Janeiro Market</w:t>
      </w:r>
    </w:p>
    <w:p>
      <w:pPr>
        <w:pStyle w:val="FirstParagraph"/>
      </w:pPr>
      <w:r>
        <w:t xml:space="preserve">Despite strong growth, this Sales Report identifies key challenges requiring strategic attention. The Brazilian research funding landscape remains volatile due to federal budget constraints, causing 19% of Q3 contracts to experience payment delays exceeding 60 days. Additionally, Rio's unique geographic constraints (mountainous terrain in neighborhoods like Santa Teresa) complicate field research logistics for Academic Researchers conducting on-site studies.</w:t>
      </w:r>
    </w:p>
    <w:p>
      <w:pPr>
        <w:pStyle w:val="BodyText"/>
      </w:pPr>
      <w:r>
        <w:t xml:space="preserve">A critical opportunity exists through Brazil's new "Innovation Law" (Lei do Incentivo à Inovação), which offers tax incentives for companies outsourcing research. Our Academic Researcher team has already developed a specialized compliance package addressing these incentives, projected to generate R$ 850K in additional revenue by Q1 2024.</w:t>
      </w:r>
    </w:p>
    <w:bookmarkEnd w:id="24"/>
    <w:bookmarkStart w:id="25" w:name="strategic-recommendations"/>
    <w:p>
      <w:pPr>
        <w:pStyle w:val="Heading2"/>
      </w:pPr>
      <w:r>
        <w:t xml:space="preserve">Strategic Recommendations</w:t>
      </w:r>
    </w:p>
    <w:p>
      <w:pPr>
        <w:pStyle w:val="FirstParagraph"/>
      </w:pPr>
      <w:r>
        <w:t xml:space="preserve">To capitalize on Rio de Janeiro's potential, we propose three actionable initiatives:</w:t>
      </w:r>
    </w:p>
    <w:p>
      <w:pPr>
        <w:numPr>
          <w:ilvl w:val="0"/>
          <w:numId w:val="1002"/>
        </w:numPr>
        <w:pStyle w:val="Compact"/>
      </w:pPr>
      <w:r>
        <w:rPr>
          <w:bCs/>
          <w:b/>
        </w:rPr>
        <w:t xml:space="preserve">Academic Researcher Local Expansion:</w:t>
      </w:r>
      <w:r>
        <w:t xml:space="preserve"> </w:t>
      </w:r>
      <w:r>
        <w:t xml:space="preserve">Hire 5 additional researchers with expertise in coastal ecology and urban health to directly address Rio's top research priorities. This aligns with our commitment to building deep Brazil Rio de Janeiro market intelligence.</w:t>
      </w:r>
    </w:p>
    <w:p>
      <w:pPr>
        <w:numPr>
          <w:ilvl w:val="0"/>
          <w:numId w:val="1002"/>
        </w:numPr>
        <w:pStyle w:val="Compact"/>
      </w:pPr>
      <w:r>
        <w:rPr>
          <w:bCs/>
          <w:b/>
        </w:rPr>
        <w:t xml:space="preserve">Digital Service Enhancement:</w:t>
      </w:r>
      <w:r>
        <w:t xml:space="preserve"> </w:t>
      </w:r>
      <w:r>
        <w:t xml:space="preserve">Develop an AI-powered data analysis platform tailored for Brazilian research standards, reducing report turnaround time by 35%—addressing a key client pain point identified in Q3 feedback.</w:t>
      </w:r>
    </w:p>
    <w:p>
      <w:pPr>
        <w:numPr>
          <w:ilvl w:val="0"/>
          <w:numId w:val="1002"/>
        </w:numPr>
        <w:pStyle w:val="Compact"/>
      </w:pPr>
      <w:r>
        <w:rPr>
          <w:bCs/>
          <w:b/>
        </w:rPr>
        <w:t xml:space="preserve">Government Partnership Program:</w:t>
      </w:r>
      <w:r>
        <w:t xml:space="preserve"> </w:t>
      </w:r>
      <w:r>
        <w:t xml:space="preserve">Establish a formal collaboration framework with Rio's Research Secretariat (SEPEM) to position our Academic Researcher services as preferred vendors for municipal projects, targeting R$ 2.4M in new contracts within 12 months.</w:t>
      </w:r>
    </w:p>
    <w:bookmarkEnd w:id="25"/>
    <w:bookmarkStart w:id="26" w:name="conclusion"/>
    <w:p>
      <w:pPr>
        <w:pStyle w:val="Heading2"/>
      </w:pPr>
      <w:r>
        <w:t xml:space="preserve">Conclusion</w:t>
      </w:r>
    </w:p>
    <w:p>
      <w:pPr>
        <w:pStyle w:val="FirstParagraph"/>
      </w:pPr>
      <w:r>
        <w:t xml:space="preserve">This Sales Report unequivocally demonstrates that our Academic Researcher services are the cornerstone of growth in Brazil Rio de Janeiro's research market. With 78% of total revenue generated through academic-focused solutions, and Rio contributing 31% to our overall Brazilian sales performance, we have established a sustainable competitive advantage in this high-value ecosystem. The strategic focus on localizing Academic Researcher expertise—understanding not just Brazil's regulatory environment but Rio's unique scientific culture—has proven critical.</w:t>
      </w:r>
    </w:p>
    <w:p>
      <w:pPr>
        <w:pStyle w:val="BodyText"/>
      </w:pPr>
      <w:r>
        <w:t xml:space="preserve">As we move into 2024, our priority remains strengthening the connection between global research standards and Rio de Janeiro's academic reality. This Sales Report confirms that investing in Academic Researcher talent development within Brazil Rio de Janeiro isn't just good business—it's the essential catalyst for unlocking Brazil's full research potential. We project a 50% revenue increase in this segment by Q2 2024, with Rio remaining our most valuable market in South America.</w:t>
      </w:r>
    </w:p>
    <w:p>
      <w:pPr>
        <w:pStyle w:val="BodyText"/>
      </w:pPr>
      <w:r>
        <w:rPr>
          <w:iCs/>
          <w:i/>
        </w:rPr>
        <w:t xml:space="preserve">Prepared for Executive Leadership | Sales &amp; Market Intelligence Division | September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Services in Brazil Rio de Janeiro</dc:title>
  <dc:creator/>
  <dc:language>en</dc:language>
  <cp:keywords/>
  <dcterms:created xsi:type="dcterms:W3CDTF">2025-12-10T07:02:48Z</dcterms:created>
  <dcterms:modified xsi:type="dcterms:W3CDTF">2025-12-10T07:02:48Z</dcterms:modified>
</cp:coreProperties>
</file>

<file path=docProps/custom.xml><?xml version="1.0" encoding="utf-8"?>
<Properties xmlns="http://schemas.openxmlformats.org/officeDocument/2006/custom-properties" xmlns:vt="http://schemas.openxmlformats.org/officeDocument/2006/docPropsVTypes"/>
</file>