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ff785e9bda41ae4a4c7437a8f8a16898e4d8899"/>
    <w:p>
      <w:pPr>
        <w:pStyle w:val="Heading1"/>
      </w:pPr>
      <w:r>
        <w:t xml:space="preserve">Sales Report: Strategic Analysis of Academic Researcher Engagement in Brazil São Paulo</w:t>
      </w:r>
    </w:p>
    <w:bookmarkStart w:id="20" w:name="executive-summary"/>
    <w:p>
      <w:pPr>
        <w:pStyle w:val="Heading2"/>
      </w:pPr>
      <w:r>
        <w:t xml:space="preserve">Executive Summary</w:t>
      </w:r>
    </w:p>
    <w:p>
      <w:pPr>
        <w:pStyle w:val="FirstParagraph"/>
      </w:pPr>
      <w:r>
        <w:t xml:space="preserve">This report details the performance metrics, market dynamics, and strategic opportunities for sales initiatives targeting Academic Researchers across the São Paulo state ecosystem. As Brazil's research epicenter, São Paulo accounts for 56% of national academic publications and houses 47% of the country's university-based research institutions. Our dedicated focus on</w:t>
      </w:r>
      <w:r>
        <w:t xml:space="preserve"> </w:t>
      </w:r>
      <w:r>
        <w:rPr>
          <w:bCs/>
          <w:b/>
        </w:rPr>
        <w:t xml:space="preserve">Academic Researcher</w:t>
      </w:r>
      <w:r>
        <w:t xml:space="preserve"> </w:t>
      </w:r>
      <w:r>
        <w:t xml:space="preserve">engagement in</w:t>
      </w:r>
      <w:r>
        <w:t xml:space="preserve"> </w:t>
      </w:r>
      <w:r>
        <w:rPr>
          <w:bCs/>
          <w:b/>
        </w:rPr>
        <w:t xml:space="preserve">Brazil São Paulo</w:t>
      </w:r>
      <w:r>
        <w:t xml:space="preserve"> </w:t>
      </w:r>
      <w:r>
        <w:t xml:space="preserve">has yielded a 22% year-over-year growth in solution adoption, significantly outpacing the national average of 8%. This performance underscores the strategic importance of this market segment and validates our tailored approach to academic sales cycles.</w:t>
      </w:r>
    </w:p>
    <w:bookmarkEnd w:id="20"/>
    <w:bookmarkStart w:id="21" w:name="X2e92b753e3ad59e7616fc385b9f62b00504b092"/>
    <w:p>
      <w:pPr>
        <w:pStyle w:val="Heading2"/>
      </w:pPr>
      <w:r>
        <w:t xml:space="preserve">Market Context: Brazil São Paulo's Research Ecosystem</w:t>
      </w:r>
    </w:p>
    <w:p>
      <w:pPr>
        <w:pStyle w:val="FirstParagraph"/>
      </w:pPr>
      <w:r>
        <w:t xml:space="preserve">São Paulo state represents a unique high-value market for academic research solutions. Home to 17 of Brazil's top 20 universities (including USP, Unicamp, and PUC-SP), the region generates over R$4.3 billion annually in research funding through entities like FAPESP (São Paulo Research Foundation) and CAPES. Academic Researchers here face acute challenges:</w:t>
      </w:r>
    </w:p>
    <w:p>
      <w:pPr>
        <w:numPr>
          <w:ilvl w:val="0"/>
          <w:numId w:val="1001"/>
        </w:numPr>
        <w:pStyle w:val="Compact"/>
      </w:pPr>
      <w:r>
        <w:t xml:space="preserve">58% report spending &gt;20 hours monthly on grant compliance (FAPESP 2023 Survey)</w:t>
      </w:r>
    </w:p>
    <w:p>
      <w:pPr>
        <w:numPr>
          <w:ilvl w:val="0"/>
          <w:numId w:val="1001"/>
        </w:numPr>
        <w:pStyle w:val="Compact"/>
      </w:pPr>
      <w:r>
        <w:t xml:space="preserve">73% require advanced data analytics tools but lack institutional budget flexibility</w:t>
      </w:r>
    </w:p>
    <w:p>
      <w:pPr>
        <w:numPr>
          <w:ilvl w:val="0"/>
          <w:numId w:val="1001"/>
        </w:numPr>
        <w:pStyle w:val="Compact"/>
      </w:pPr>
      <w:r>
        <w:t xml:space="preserve">91% prioritize peer-reviewed publication speed over cost efficiency (Brazilian Council of Science 2024)</w:t>
      </w:r>
    </w:p>
    <w:bookmarkEnd w:id="21"/>
    <w:bookmarkStart w:id="23" w:name="Xd33c20f19c1887023498debfd3ad0952163bea9"/>
    <w:p>
      <w:pPr>
        <w:pStyle w:val="Heading2"/>
      </w:pPr>
      <w:r>
        <w:t xml:space="preserve">Sales Performance Breakdown: Academic Researcher Focus</w:t>
      </w:r>
    </w:p>
    <w:p>
      <w:pPr>
        <w:pStyle w:val="FirstParagraph"/>
      </w:pPr>
      <w:r>
        <w:t xml:space="preserve">Our sales pipeline for Academic Researchers in São Paulo demonstrates exceptional conversion rates due to our ecosystem-specific strategy:</w:t>
      </w:r>
    </w:p>
    <w:bookmarkStart w:id="22" w:name="key-metrics-q1-q3-2024"/>
    <w:p>
      <w:pPr>
        <w:pStyle w:val="Heading3"/>
      </w:pPr>
      <w:r>
        <w:t xml:space="preserve">Key Metrics (Q1-Q3 2024)</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Academic Researcher Leads (São Paulo)</w:t>
      </w:r>
    </w:p>
    <w:p>
      <w:pPr>
        <w:pStyle w:val="BodyText"/>
      </w:pPr>
      <w:r>
        <w:t xml:space="preserve">1,200</w:t>
      </w:r>
    </w:p>
    <w:p>
      <w:pPr>
        <w:pStyle w:val="BodyText"/>
      </w:pPr>
      <w:r>
        <w:t xml:space="preserve">1,475</w:t>
      </w:r>
    </w:p>
    <w:p>
      <w:pPr>
        <w:pStyle w:val="BodyText"/>
      </w:pPr>
      <w:r>
        <w:t xml:space="preserve">+22.9%</w:t>
      </w:r>
    </w:p>
    <w:p>
      <w:pPr>
        <w:pStyle w:val="BodyText"/>
      </w:pPr>
      <w:r>
        <w:t xml:space="preserve">Closed Deals (Research Solutions)</w:t>
      </w:r>
    </w:p>
    <w:p>
      <w:pPr>
        <w:pStyle w:val="BodyText"/>
      </w:pPr>
      <w:r>
        <w:t xml:space="preserve">345</w:t>
      </w:r>
    </w:p>
    <w:p>
      <w:pPr>
        <w:pStyle w:val="BodyText"/>
      </w:pPr>
      <w:r>
        <w:t xml:space="preserve">&lt;</w:t>
      </w:r>
    </w:p>
    <w:p>
      <w:pPr>
        <w:pStyle w:val="BodyText"/>
      </w:pPr>
      <w:r>
        <w:t xml:space="preserve">428</w:t>
      </w:r>
    </w:p>
    <w:p>
      <w:pPr>
        <w:pStyle w:val="BodyText"/>
      </w:pPr>
      <w:r>
        <w:t xml:space="preserve">+24.1%</w:t>
      </w:r>
    </w:p>
    <w:p>
      <w:pPr>
        <w:pStyle w:val="BodyText"/>
      </w:pPr>
      <w:r>
        <w:t xml:space="preserve">Avg. Deal Value</w:t>
      </w:r>
    </w:p>
    <w:p>
      <w:pPr>
        <w:pStyle w:val="BodyText"/>
      </w:pPr>
      <w:r>
        <w:t xml:space="preserve">R$ 18,500</w:t>
      </w:r>
    </w:p>
    <w:p>
      <w:pPr>
        <w:pStyle w:val="BodyText"/>
      </w:pPr>
      <w:r>
        <w:t xml:space="preserve">&lt;</w:t>
      </w:r>
    </w:p>
    <w:p>
      <w:pPr>
        <w:pStyle w:val="BodyText"/>
      </w:pPr>
      <w:r>
        <w:t xml:space="preserve">R$ 22,300</w:t>
      </w:r>
    </w:p>
    <w:p>
      <w:pPr>
        <w:pStyle w:val="BodyText"/>
      </w:pPr>
      <w:r>
        <w:t xml:space="preserve">+20.5%</w:t>
      </w:r>
    </w:p>
    <w:p>
      <w:pPr>
        <w:pStyle w:val="BodyText"/>
      </w:pPr>
      <w:r>
        <w:t xml:space="preserve">Renewal Rate (Academic Accounts)</w:t>
      </w:r>
    </w:p>
    <w:p>
      <w:pPr>
        <w:pStyle w:val="BodyText"/>
      </w:pPr>
      <w:r>
        <w:t xml:space="preserve">78%</w:t>
      </w:r>
    </w:p>
    <w:p>
      <w:pPr>
        <w:pStyle w:val="BodyText"/>
      </w:pPr>
      <w:r>
        <w:t xml:space="preserve">86%</w:t>
      </w:r>
    </w:p>
    <w:p>
      <w:pPr>
        <w:pStyle w:val="BodyText"/>
      </w:pPr>
      <w:r>
        <w:t xml:space="preserve">+8.0%</w:t>
      </w:r>
    </w:p>
    <w:p>
      <w:pPr>
        <w:pStyle w:val="BodyText"/>
      </w:pPr>
      <w:r>
        <w:t xml:space="preserve">The 24% increase in closed deals directly correlates with our São Paulo-focused value proposition: "Solutions designed by researchers, for researchers." Unlike generic academic software vendors, we implemented a consultative sales model where our account managers are former Academic Researchers (62% of the Brazil São Paulo team hold doctoral degrees), enabling authentic engagement during grant-writing phases.</w:t>
      </w:r>
    </w:p>
    <w:bookmarkEnd w:id="22"/>
    <w:bookmarkEnd w:id="23"/>
    <w:bookmarkStart w:id="27" w:name="Xe65c1d71437334417aa9997772fbf91ed2caa29"/>
    <w:p>
      <w:pPr>
        <w:pStyle w:val="Heading2"/>
      </w:pPr>
      <w:r>
        <w:t xml:space="preserve">Regional Sales Insights: Brazil São Paulo Specifics</w:t>
      </w:r>
    </w:p>
    <w:p>
      <w:pPr>
        <w:pStyle w:val="FirstParagraph"/>
      </w:pPr>
      <w:r>
        <w:t xml:space="preserve">Our market analysis reveals three critical regional nuances driving success:</w:t>
      </w:r>
    </w:p>
    <w:bookmarkStart w:id="24" w:name="fapesp-grant-cycle-alignment"/>
    <w:p>
      <w:pPr>
        <w:pStyle w:val="Heading3"/>
      </w:pPr>
      <w:r>
        <w:t xml:space="preserve">1. FAPESP Grant Cycle Alignment</w:t>
      </w:r>
    </w:p>
    <w:p>
      <w:pPr>
        <w:pStyle w:val="FirstParagraph"/>
      </w:pPr>
      <w:r>
        <w:t xml:space="preserve">São Paulo's research funding follows a strict annual cycle (January-June for proposals). We timed 87% of our sales campaigns to coincide with FAPESP application windows, resulting in 63% of closed deals directly tied to grant submissions. This contrasts sharply with national competitors averaging only 29% FAPESP-linked conversions.</w:t>
      </w:r>
    </w:p>
    <w:bookmarkEnd w:id="24"/>
    <w:bookmarkStart w:id="25" w:name="institutional-partnership-strategy"/>
    <w:p>
      <w:pPr>
        <w:pStyle w:val="Heading3"/>
      </w:pPr>
      <w:r>
        <w:t xml:space="preserve">2. Institutional Partnership Strategy</w:t>
      </w:r>
    </w:p>
    <w:p>
      <w:pPr>
        <w:pStyle w:val="FirstParagraph"/>
      </w:pPr>
      <w:r>
        <w:t xml:space="preserve">Instead of targeting individual researchers, our São Paulo sales team secured institutional partnerships with 14 major universities (including USP's Institute of Mathematics). This "campus license" model delivered 40% higher average revenue per account versus department-level contracts in other states. For example, the Unicamp partnership (signed Q2 2024) covers 8,300 Academic Researchers across 17 departments.</w:t>
      </w:r>
    </w:p>
    <w:bookmarkEnd w:id="25"/>
    <w:bookmarkStart w:id="26" w:name="cultural-engagement-protocols"/>
    <w:p>
      <w:pPr>
        <w:pStyle w:val="Heading3"/>
      </w:pPr>
      <w:r>
        <w:t xml:space="preserve">3. Cultural Engagement Protocols</w:t>
      </w:r>
    </w:p>
    <w:p>
      <w:pPr>
        <w:pStyle w:val="FirstParagraph"/>
      </w:pPr>
      <w:r>
        <w:t xml:space="preserve">Academic Researchers in Brazil São Paulo respond to relationship-driven sales approaches. Our team conducts bi-monthly "Research Roundtables" at partner institutions – not sales pitches, but collaborative sessions addressing actual pain points like manuscript submission delays (average 72 days in São Paulo vs. 58 nationally). This approach generated a 39% higher lead-to-customer conversion rate than digital-only campaigns.</w:t>
      </w:r>
    </w:p>
    <w:bookmarkEnd w:id="26"/>
    <w:bookmarkEnd w:id="27"/>
    <w:bookmarkStart w:id="28" w:name="challenges-and-strategic-recommendations"/>
    <w:p>
      <w:pPr>
        <w:pStyle w:val="Heading2"/>
      </w:pPr>
      <w:r>
        <w:t xml:space="preserve">Challenges and Strategic Recommendations</w:t>
      </w:r>
    </w:p>
    <w:p>
      <w:pPr>
        <w:pStyle w:val="FirstParagraph"/>
      </w:pPr>
      <w:r>
        <w:t xml:space="preserve">Despite strong performance, two challenges require immediate attention for sustained growth:</w:t>
      </w:r>
    </w:p>
    <w:p>
      <w:pPr>
        <w:numPr>
          <w:ilvl w:val="0"/>
          <w:numId w:val="1002"/>
        </w:numPr>
        <w:pStyle w:val="Compact"/>
      </w:pPr>
      <w:r>
        <w:rPr>
          <w:bCs/>
          <w:b/>
        </w:rPr>
        <w:t xml:space="preserve">Resource Allocation Gap:</w:t>
      </w:r>
      <w:r>
        <w:t xml:space="preserve"> </w:t>
      </w:r>
      <w:r>
        <w:t xml:space="preserve">41% of Academic Researchers report insufficient IT support from institutions. We recommend expanding our São Paulo "Research Tech Support" program to cover 30+ universities by Q2 2025.</w:t>
      </w:r>
    </w:p>
    <w:p>
      <w:pPr>
        <w:numPr>
          <w:ilvl w:val="0"/>
          <w:numId w:val="1002"/>
        </w:numPr>
        <w:pStyle w:val="Compact"/>
      </w:pPr>
      <w:r>
        <w:rPr>
          <w:bCs/>
          <w:b/>
        </w:rPr>
        <w:t xml:space="preserve">Cultural Nuance in Southern Brazil:</w:t>
      </w:r>
      <w:r>
        <w:t xml:space="preserve"> </w:t>
      </w:r>
      <w:r>
        <w:t xml:space="preserve">Researchers in São Paulo (especially USP) prefer formal documentation over casual engagement. We'll implement a revised sales playbook requiring all proposals to include FAPESP-compliant impact metrics by October 2024.</w:t>
      </w:r>
    </w:p>
    <w:bookmarkEnd w:id="28"/>
    <w:bookmarkStart w:id="29" w:name="X033f4ce73e39fad98c223b7b966f1affb2031ab"/>
    <w:p>
      <w:pPr>
        <w:pStyle w:val="Heading2"/>
      </w:pPr>
      <w:r>
        <w:t xml:space="preserve">Forward-Looking Strategy for Brazil São Paulo</w:t>
      </w:r>
    </w:p>
    <w:p>
      <w:pPr>
        <w:pStyle w:val="FirstParagraph"/>
      </w:pPr>
      <w:r>
        <w:t xml:space="preserve">To capitalize on the São Paulo market's potential, we propose three priority initiatives:</w:t>
      </w:r>
    </w:p>
    <w:p>
      <w:pPr>
        <w:numPr>
          <w:ilvl w:val="0"/>
          <w:numId w:val="1003"/>
        </w:numPr>
        <w:pStyle w:val="Compact"/>
      </w:pPr>
      <w:r>
        <w:rPr>
          <w:bCs/>
          <w:b/>
        </w:rPr>
        <w:t xml:space="preserve">Launch of FAPESP-Certified Solutions:</w:t>
      </w:r>
      <w:r>
        <w:t xml:space="preserve"> </w:t>
      </w:r>
      <w:r>
        <w:t xml:space="preserve">Co-develop 3 new tools with FAPESP for 2025 grant cycles, targeting submission time reduction by 30%.</w:t>
      </w:r>
    </w:p>
    <w:p>
      <w:pPr>
        <w:numPr>
          <w:ilvl w:val="0"/>
          <w:numId w:val="1003"/>
        </w:numPr>
        <w:pStyle w:val="Compact"/>
      </w:pPr>
      <w:r>
        <w:rPr>
          <w:bCs/>
          <w:b/>
        </w:rPr>
        <w:t xml:space="preserve">São Paulo Researcher Ambassador Program:</w:t>
      </w:r>
      <w:r>
        <w:t xml:space="preserve"> </w:t>
      </w:r>
      <w:r>
        <w:t xml:space="preserve">Recruit 50 influential Academic Researchers (across top universities) to advocate our solutions at conferences – a program proven to increase leads by 52% in pilot regions.</w:t>
      </w:r>
    </w:p>
    <w:p>
      <w:pPr>
        <w:numPr>
          <w:ilvl w:val="0"/>
          <w:numId w:val="1003"/>
        </w:numPr>
        <w:pStyle w:val="Compact"/>
      </w:pPr>
      <w:r>
        <w:rPr>
          <w:bCs/>
          <w:b/>
        </w:rPr>
        <w:t xml:space="preserve">Regional Sales Team Expansion:</w:t>
      </w:r>
      <w:r>
        <w:t xml:space="preserve"> </w:t>
      </w:r>
      <w:r>
        <w:t xml:space="preserve">Add 4 specialized Academic Researcher sales consultants focused exclusively on São Paulo, increasing coverage from 1:780 researchers to 1:350.</w:t>
      </w:r>
    </w:p>
    <w:bookmarkEnd w:id="29"/>
    <w:bookmarkStart w:id="30" w:name="conclusion"/>
    <w:p>
      <w:pPr>
        <w:pStyle w:val="Heading2"/>
      </w:pPr>
      <w:r>
        <w:t xml:space="preserve">Conclusion</w:t>
      </w:r>
    </w:p>
    <w:p>
      <w:pPr>
        <w:pStyle w:val="FirstParagraph"/>
      </w:pPr>
      <w:r>
        <w:t xml:space="preserve">The</w:t>
      </w:r>
      <w:r>
        <w:t xml:space="preserve"> </w:t>
      </w:r>
      <w:r>
        <w:rPr>
          <w:bCs/>
          <w:b/>
        </w:rPr>
        <w:t xml:space="preserve">Sales Report</w:t>
      </w:r>
      <w:r>
        <w:t xml:space="preserve"> </w:t>
      </w:r>
      <w:r>
        <w:t xml:space="preserve">for Academic Researcher engagement in</w:t>
      </w:r>
      <w:r>
        <w:t xml:space="preserve"> </w:t>
      </w:r>
      <w:r>
        <w:rPr>
          <w:bCs/>
          <w:b/>
        </w:rPr>
        <w:t xml:space="preserve">Brazil São Paulo</w:t>
      </w:r>
      <w:r>
        <w:t xml:space="preserve"> </w:t>
      </w:r>
      <w:r>
        <w:t xml:space="preserve">demonstrates a high-potential, high-value market where our research-first sales methodology delivers superior results. With São Paulo accounting for 68% of Brazil's total academic research spending and only 22% of vendors targeting this segment with specialized solutions, we hold a defensible competitive advantage. Our strategic focus on authentic academic engagement – not transactional selling – has positioned us to capture 15-18% market share in the São Paulo Academic Researcher solutions space by 2026. Continuing to adapt our approach specifically for the unique rhythms and needs of</w:t>
      </w:r>
      <w:r>
        <w:t xml:space="preserve"> </w:t>
      </w:r>
      <w:r>
        <w:rPr>
          <w:bCs/>
          <w:b/>
        </w:rPr>
        <w:t xml:space="preserve">Academic Researcher</w:t>
      </w:r>
      <w:r>
        <w:t xml:space="preserve"> </w:t>
      </w:r>
      <w:r>
        <w:t xml:space="preserve">communities across</w:t>
      </w:r>
      <w:r>
        <w:t xml:space="preserve"> </w:t>
      </w:r>
      <w:r>
        <w:rPr>
          <w:bCs/>
          <w:b/>
        </w:rPr>
        <w:t xml:space="preserve">Brazil São Paulo</w:t>
      </w:r>
      <w:r>
        <w:t xml:space="preserve"> </w:t>
      </w:r>
      <w:r>
        <w:t xml:space="preserve">will be critical for maintaining this momentum.</w:t>
      </w:r>
    </w:p>
    <w:p>
      <w:pPr>
        <w:pStyle w:val="BodyText"/>
      </w:pPr>
      <w:r>
        <w:rPr>
          <w:iCs/>
          <w:i/>
        </w:rPr>
        <w:t xml:space="preserve">This report reflects data from Q1-Q3 2024, sourced through FAPESP research databases, institutional partnership analytics, and direct Academic Researcher engagement surveys. All metrics are exclusive to the Brazil São Paulo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Performance in Brazil São Paulo</dc:title>
  <dc:creator/>
  <cp:keywords/>
  <dcterms:created xsi:type="dcterms:W3CDTF">2026-07-24T13:55:32Z</dcterms:created>
  <dcterms:modified xsi:type="dcterms:W3CDTF">2026-07-24T13:55:32Z</dcterms:modified>
</cp:coreProperties>
</file>

<file path=docProps/custom.xml><?xml version="1.0" encoding="utf-8"?>
<Properties xmlns="http://schemas.openxmlformats.org/officeDocument/2006/custom-properties" xmlns:vt="http://schemas.openxmlformats.org/officeDocument/2006/docPropsVTypes"/>
</file>