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30" w:name="Xe4eb31406276c7cd668e1c1db37ed128f132406"/>
    <w:p>
      <w:pPr>
        <w:pStyle w:val="Heading1"/>
      </w:pPr>
      <w:r>
        <w:t xml:space="preserve">Sales Report: Strategic Opportunities for Academic Researcher Engagement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Product Development &amp; Market Strategy Teams</w:t>
      </w:r>
      <w:r>
        <w:br/>
      </w:r>
      <w:r>
        <w:rPr>
          <w:bCs/>
          <w:b/>
        </w:rPr>
        <w:t xml:space="preserve">Report Focus:</w:t>
      </w:r>
      <w:r>
        <w:t xml:space="preserve"> </w:t>
      </w:r>
      <w:r>
        <w:t xml:space="preserve">Sales Performance and Growth Opportunities Targeting Academic Researchers in Montreal, Canada</w:t>
      </w:r>
    </w:p>
    <w:bookmarkStart w:id="20" w:name="i.-executive-summary"/>
    <w:p>
      <w:pPr>
        <w:pStyle w:val="Heading2"/>
      </w:pPr>
      <w:r>
        <w:t xml:space="preserve">I. Executive Summary</w:t>
      </w:r>
    </w:p>
    <w:p>
      <w:pPr>
        <w:pStyle w:val="FirstParagraph"/>
      </w:pPr>
      <w:r>
        <w:t xml:space="preserve">This Sales Report analyzes current market dynamics for research-related services and tools targeting Academic Researchers across the Montreal academic ecosystem. The analysis confirms Montreal's position as a pivotal hub for academic research within Canada, with significant sales potential tied directly to the needs of researchers at institutions like McGill University, Université de Montréal, Polytechnique Montréal, and Concordia University. Key findings indicate that tailored solutions addressing funding pressures, collaboration barriers, and technology adoption gaps are driving engagement. Our sales pipeline in Canada Montreal shows a 28% YoY growth in contracts with Academic Researcher clients since Q1 2022, positioning us for leadership in this high-value market segment.</w:t>
      </w:r>
    </w:p>
    <w:bookmarkEnd w:id="20"/>
    <w:bookmarkStart w:id="21" w:name="X654316fe3aedcf09abe35f78efa92b3d061d142"/>
    <w:p>
      <w:pPr>
        <w:pStyle w:val="Heading2"/>
      </w:pPr>
      <w:r>
        <w:t xml:space="preserve">II. Montreal Academic Researcher Market Overview</w:t>
      </w:r>
    </w:p>
    <w:p>
      <w:pPr>
        <w:pStyle w:val="FirstParagraph"/>
      </w:pPr>
      <w:r>
        <w:t xml:space="preserve">Montreal represents one of Canada's most vibrant academic research centers, hosting over 35,000 researchers across its major institutions. The city accounts for approximately 18% of all federally-funded research projects in Canada, with significant investments from NSERC (Natural Sciences and Engineering Research Council), FRQS (Fonds de Recherche du Québec - Santé), and CIHR (Canadian Institutes of Health Research). This concentration creates a unique sales environment where Academic Researchers are highly influential stakeholders, directly impacting institutional purchasing decisions.</w:t>
      </w:r>
    </w:p>
    <w:p>
      <w:pPr>
        <w:pStyle w:val="BodyText"/>
      </w:pPr>
      <w:r>
        <w:t xml:space="preserve">Key market characteristics include:</w:t>
      </w:r>
    </w:p>
    <w:p>
      <w:pPr>
        <w:numPr>
          <w:ilvl w:val="0"/>
          <w:numId w:val="1001"/>
        </w:numPr>
        <w:pStyle w:val="Compact"/>
      </w:pPr>
      <w:r>
        <w:rPr>
          <w:bCs/>
          <w:b/>
        </w:rPr>
        <w:t xml:space="preserve">Bilingual Demand:</w:t>
      </w:r>
      <w:r>
        <w:t xml:space="preserve"> </w:t>
      </w:r>
      <w:r>
        <w:t xml:space="preserve">67% of Montreal-based Academic Researchers prefer materials and support in both French and English, requiring localized service delivery.</w:t>
      </w:r>
    </w:p>
    <w:p>
      <w:pPr>
        <w:numPr>
          <w:ilvl w:val="0"/>
          <w:numId w:val="1001"/>
        </w:numPr>
        <w:pStyle w:val="Compact"/>
      </w:pPr>
      <w:r>
        <w:rPr>
          <w:bCs/>
          <w:b/>
        </w:rPr>
        <w:t xml:space="preserve">Funding-Driven Decisions:</w:t>
      </w:r>
      <w:r>
        <w:t xml:space="preserve"> </w:t>
      </w:r>
      <w:r>
        <w:t xml:space="preserve">82% of research procurement is tied to grant cycles (NSERC/FRQS), making sales cycles tightly linked to fiscal planning periods.</w:t>
      </w:r>
    </w:p>
    <w:p>
      <w:pPr>
        <w:numPr>
          <w:ilvl w:val="0"/>
          <w:numId w:val="1001"/>
        </w:numPr>
        <w:pStyle w:val="Compact"/>
      </w:pPr>
      <w:r>
        <w:rPr>
          <w:bCs/>
          <w:b/>
        </w:rPr>
        <w:t xml:space="preserve">Collaboration Focus:</w:t>
      </w:r>
      <w:r>
        <w:t xml:space="preserve"> </w:t>
      </w:r>
      <w:r>
        <w:t xml:space="preserve">Montreal researchers prioritize tools enabling cross-institutional and industry partnerships, especially in AI, climate science, and health innovation.</w:t>
      </w:r>
    </w:p>
    <w:bookmarkEnd w:id="21"/>
    <w:bookmarkStart w:id="22" w:name="X7f78f686c1fbae4ec85d3e25b59ef028f7f7a66"/>
    <w:p>
      <w:pPr>
        <w:pStyle w:val="Heading2"/>
      </w:pPr>
      <w:r>
        <w:t xml:space="preserve">III. Sales Performance Analysis: Academic Researcher Segment</w:t>
      </w:r>
    </w:p>
    <w:p>
      <w:pPr>
        <w:pStyle w:val="FirstParagraph"/>
      </w:pPr>
      <w:r>
        <w:t xml:space="preserve">This section details our performance metrics specifically targeting the Academic Researcher persona within Canada Montreal:</w:t>
      </w:r>
    </w:p>
    <w:p>
      <w:pPr>
        <w:pStyle w:val="BodyText"/>
      </w:pPr>
      <w:r>
        <w:t xml:space="preserve">Category</w:t>
      </w:r>
    </w:p>
    <w:p>
      <w:pPr>
        <w:pStyle w:val="BodyText"/>
      </w:pPr>
      <w:r>
        <w:t xml:space="preserve">Q3 2023 Performance</w:t>
      </w:r>
    </w:p>
    <w:p>
      <w:pPr>
        <w:pStyle w:val="BodyText"/>
      </w:pPr>
      <w:r>
        <w:t xml:space="preserve">YoY Change</w:t>
      </w:r>
    </w:p>
    <w:p>
      <w:pPr>
        <w:pStyle w:val="BodyText"/>
      </w:pPr>
      <w:r>
        <w:t xml:space="preserve">New Academic Researcher Contracts</w:t>
      </w:r>
    </w:p>
    <w:p>
      <w:pPr>
        <w:pStyle w:val="BodyText"/>
      </w:pPr>
      <w:r>
        <w:t xml:space="preserve">$487,500 CAD</w:t>
      </w:r>
    </w:p>
    <w:p>
      <w:pPr>
        <w:pStyle w:val="BodyText"/>
      </w:pPr>
      <w:r>
        <w:t xml:space="preserve">+31%</w:t>
      </w:r>
    </w:p>
    <w:p>
      <w:pPr>
        <w:pStyle w:val="BodyText"/>
      </w:pPr>
      <w:r>
        <w:t xml:space="preserve">Average Contract Value (ACV)</w:t>
      </w:r>
    </w:p>
    <w:p>
      <w:pPr>
        <w:pStyle w:val="BodyText"/>
      </w:pPr>
      <w:r>
        <w:t xml:space="preserve">$22,650 CAD</w:t>
      </w:r>
      <w:r>
        <w:t xml:space="preserve"> </w:t>
      </w:r>
      <w:r>
        <w:t xml:space="preserve">td&gt;+9%</w:t>
      </w:r>
    </w:p>
    <w:p>
      <w:pPr>
        <w:pStyle w:val="BodyText"/>
      </w:pPr>
      <w:r>
        <w:t xml:space="preserve">tr&gt;</w:t>
      </w:r>
    </w:p>
    <w:p>
      <w:pPr>
        <w:pStyle w:val="BodyText"/>
      </w:pPr>
      <w:r>
        <w:t xml:space="preserve">Key Performance Drivers in Montreal</w:t>
      </w:r>
    </w:p>
    <w:p>
      <w:pPr>
        <w:pStyle w:val="BodyText"/>
      </w:pPr>
      <w:r>
        <w:t xml:space="preserve">tr&gt;Prioritized Research Themes: AI/ML, Sustainable Urban Development, Biotechnology (78% of new contracts)</w:t>
      </w:r>
    </w:p>
    <w:p>
      <w:pPr>
        <w:pStyle w:val="BodyText"/>
      </w:pPr>
      <w:r>
        <w:t xml:space="preserve">Product Adoption Rate (Research Tools)</w:t>
      </w:r>
    </w:p>
    <w:p>
      <w:pPr>
        <w:pStyle w:val="BodyText"/>
      </w:pPr>
      <w:r>
        <w:t xml:space="preserve">64%</w:t>
      </w:r>
    </w:p>
    <w:p>
      <w:pPr>
        <w:pStyle w:val="BodyText"/>
      </w:pPr>
      <w:r>
        <w:t xml:space="preserve">+18% vs. 2022</w:t>
      </w:r>
    </w:p>
    <w:p>
      <w:pPr>
        <w:pStyle w:val="BodyText"/>
      </w:pPr>
      <w:r>
        <w:t xml:space="preserve">The growth trajectory is directly tied to our solution’s alignment with Montreal researchers' core challenges. For example, our data collaboration platform saw a 45% uptake among Academic Researchers at Université de Montréal following a customized workshop series addressing FRQS grant requirements.</w:t>
      </w:r>
    </w:p>
    <w:bookmarkEnd w:id="22"/>
    <w:bookmarkStart w:id="27" w:name="X13968d7884c6575b09132ce478c7aafc941861f"/>
    <w:p>
      <w:pPr>
        <w:pStyle w:val="Heading2"/>
      </w:pPr>
      <w:r>
        <w:t xml:space="preserve">IV. Strategic Recommendations for Canada Montreal Market Expansion</w:t>
      </w:r>
    </w:p>
    <w:p>
      <w:pPr>
        <w:pStyle w:val="FirstParagraph"/>
      </w:pPr>
      <w:r>
        <w:t xml:space="preserve">To capitalize on the high-value Academic Researcher segment in Canada Montreal, we propose the following data-driven strategies:</w:t>
      </w:r>
    </w:p>
    <w:bookmarkStart w:id="23" w:name="X0d08cb04c219505538b0f34891a5d121e00ce1e"/>
    <w:p>
      <w:pPr>
        <w:pStyle w:val="Heading3"/>
      </w:pPr>
      <w:r>
        <w:t xml:space="preserve">A. Deepen Local Institutional Partnerships</w:t>
      </w:r>
    </w:p>
    <w:p>
      <w:pPr>
        <w:pStyle w:val="FirstParagraph"/>
      </w:pPr>
      <w:r>
        <w:t xml:space="preserve">Establish dedicated account management roles focused exclusively on McGill and UdeM research offices. Develop co-branded grant-writing workshops addressing NSERC’s 2024 priority areas (e.g., quantum computing, circular economies), positioning our tools as essential for successful proposals. *Expected Impact: 15-20% pipeline growth from institutional contracts by Q1 2024.*</w:t>
      </w:r>
    </w:p>
    <w:bookmarkEnd w:id="23"/>
    <w:bookmarkStart w:id="24" w:name="Xeb08ed9885b90e3547bbc72146c7bf8c87e2525"/>
    <w:p>
      <w:pPr>
        <w:pStyle w:val="Heading3"/>
      </w:pPr>
      <w:r>
        <w:t xml:space="preserve">B. Leverage Montreal’s Bilingual Advantage</w:t>
      </w:r>
    </w:p>
    <w:p>
      <w:pPr>
        <w:pStyle w:val="FirstParagraph"/>
      </w:pPr>
      <w:r>
        <w:t xml:space="preserve">Develop fully French-Canadian marketing materials and technical support (including French-speaking data scientists) for the Quebec market. Implement bilingual certification for all sales team members targeting Montreal institutions. *Validation: 72% of surveyed Academic Researchers cited language as critical to vendor engagement in Quebec.*</w:t>
      </w:r>
    </w:p>
    <w:bookmarkEnd w:id="24"/>
    <w:bookmarkStart w:id="25" w:name="X0b53a6793bda09a2c65d4e374c38569f45e6f94"/>
    <w:p>
      <w:pPr>
        <w:pStyle w:val="Heading3"/>
      </w:pPr>
      <w:r>
        <w:t xml:space="preserve">C. Create Montreal-Specific Research Community Events</w:t>
      </w:r>
    </w:p>
    <w:p>
      <w:pPr>
        <w:pStyle w:val="FirstParagraph"/>
      </w:pPr>
      <w:r>
        <w:t xml:space="preserve">Host quarterly "Research Innovation Roundtables" at Concordia University, featuring prominent Montreal-based Academic Researchers discussing real-world challenges (e.g., "Data Management in Climate Change Projects"). This builds trust and provides direct sales engagement opportunities. *ROI Target: 25% lead conversion from events.</w:t>
      </w:r>
    </w:p>
    <w:bookmarkEnd w:id="25"/>
    <w:bookmarkStart w:id="26" w:name="Xe9f56e2fe54515bb6dc327129787613567948e1"/>
    <w:p>
      <w:pPr>
        <w:pStyle w:val="Heading3"/>
      </w:pPr>
      <w:r>
        <w:t xml:space="preserve">D. Align with Canada’s National Research Priorities</w:t>
      </w:r>
    </w:p>
    <w:p>
      <w:pPr>
        <w:pStyle w:val="FirstParagraph"/>
      </w:pPr>
      <w:r>
        <w:t xml:space="preserve">Develop solution bundles targeting Canada’s Strategic Innovation Fund priorities, specifically emphasizing how our tools accelerate research outcomes in AI and green technology—areas where Montreal institutions dominate Canadian investment. Highlight case studies from existing Montreal clients like the McGill Centre for Bioinformatics.</w:t>
      </w:r>
    </w:p>
    <w:bookmarkEnd w:id="26"/>
    <w:bookmarkEnd w:id="27"/>
    <w:bookmarkStart w:id="28" w:name="v.-challenges-and-mitigation-strategies"/>
    <w:p>
      <w:pPr>
        <w:pStyle w:val="Heading2"/>
      </w:pPr>
      <w:r>
        <w:t xml:space="preserve">V. Challenges and Mitigation Strategies</w:t>
      </w:r>
    </w:p>
    <w:p>
      <w:pPr>
        <w:pStyle w:val="FirstParagraph"/>
      </w:pPr>
      <w:r>
        <w:t xml:space="preserve">Key challenges identified for Canada Montreal sales efforts include:</w:t>
      </w:r>
    </w:p>
    <w:p>
      <w:pPr>
        <w:numPr>
          <w:ilvl w:val="0"/>
          <w:numId w:val="1002"/>
        </w:numPr>
        <w:pStyle w:val="Compact"/>
      </w:pPr>
      <w:r>
        <w:rPr>
          <w:bCs/>
          <w:b/>
        </w:rPr>
        <w:t xml:space="preserve">Institutional Bureaucracy:</w:t>
      </w:r>
      <w:r>
        <w:t xml:space="preserve"> </w:t>
      </w:r>
      <w:r>
        <w:t xml:space="preserve">Lengthy procurement cycles (avg. 6-8 months). *Mitigation:* Assign dedicated procurement specialists to navigate institutional processes.</w:t>
      </w:r>
    </w:p>
    <w:p>
      <w:pPr>
        <w:numPr>
          <w:ilvl w:val="0"/>
          <w:numId w:val="1002"/>
        </w:numPr>
        <w:pStyle w:val="Compact"/>
      </w:pPr>
      <w:r>
        <w:rPr>
          <w:bCs/>
          <w:b/>
        </w:rPr>
        <w:t xml:space="preserve">Competitive Landscape:</w:t>
      </w:r>
      <w:r>
        <w:t xml:space="preserve"> </w:t>
      </w:r>
      <w:r>
        <w:t xml:space="preserve">Local academic vendors offering cheaper alternatives. *Mitigation:* Emphasize ROI through demonstrable time savings in grant management (e.g., "Our platform reduces proposal prep by 30%").</w:t>
      </w:r>
    </w:p>
    <w:p>
      <w:pPr>
        <w:numPr>
          <w:ilvl w:val="0"/>
          <w:numId w:val="1002"/>
        </w:numPr>
        <w:pStyle w:val="Compact"/>
      </w:pPr>
      <w:r>
        <w:rPr>
          <w:bCs/>
          <w:b/>
        </w:rPr>
        <w:t xml:space="preserve">Researcher Time Constraints:</w:t>
      </w:r>
      <w:r>
        <w:t xml:space="preserve"> </w:t>
      </w:r>
      <w:r>
        <w:t xml:space="preserve">Limited bandwidth for vendor demos. *Mitigation:* Offer micro-demos via email/LMS integrated with researcher workflows.</w:t>
      </w:r>
    </w:p>
    <w:bookmarkEnd w:id="28"/>
    <w:bookmarkStart w:id="29" w:name="vi.-conclusion-and-forward-momentum"/>
    <w:p>
      <w:pPr>
        <w:pStyle w:val="Heading2"/>
      </w:pPr>
      <w:r>
        <w:t xml:space="preserve">VI. Conclusion and Forward Momentum</w:t>
      </w:r>
    </w:p>
    <w:p>
      <w:pPr>
        <w:pStyle w:val="FirstParagraph"/>
      </w:pPr>
      <w:r>
        <w:t xml:space="preserve">The Academic Researcher segment in Canada Montreal presents exceptional sales opportunity due to the city’s concentration of high-impact research, strong federal funding alignment, and evolving institutional needs. Our current 28% YoY growth demonstrates clear market acceptance of solutions tailored to this unique ecosystem. By implementing the proposed strategies—particularly deepening institutional partnerships, leveraging bilingual capabilities, and hosting Montreal-specific community events—we project a 40% increase in Academic Researcher contracts within the next fiscal year.</w:t>
      </w:r>
    </w:p>
    <w:p>
      <w:pPr>
        <w:pStyle w:val="BodyText"/>
      </w:pPr>
      <w:r>
        <w:t xml:space="preserve">As Canada’s research landscape evolves toward greater industry-academia integration (a key focus of Quebec’s 2030 Innovation Strategy), our ability to serve Montreal-based Academic Researchers will directly influence our market leadership position. This Sales Report confirms that strategic investment in this segment is not merely profitable—it is essential for sustainable growth within the Canadian academic technology ecosystem.</w:t>
      </w:r>
    </w:p>
    <w:p>
      <w:pPr>
        <w:pStyle w:val="BodyText"/>
      </w:pPr>
      <w:r>
        <w:rPr>
          <w:bCs/>
          <w:b/>
        </w:rPr>
        <w:t xml:space="preserve">Next Steps:</w:t>
      </w:r>
      <w:r>
        <w:t xml:space="preserve"> </w:t>
      </w:r>
      <w:r>
        <w:t xml:space="preserve">Approve $150,000 CAD budget allocation for Montreal-specific engagement programs (Q4 2023), including bilingual workshops and institutional partnership development. Target: 35 new Academic Researcher contracts in Canada Montreal by Q2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Canada Montreal Market</dc:title>
  <dc:creator/>
  <dc:language>en</dc:language>
  <cp:keywords/>
  <dcterms:created xsi:type="dcterms:W3CDTF">2025-12-13T06:36:42Z</dcterms:created>
  <dcterms:modified xsi:type="dcterms:W3CDTF">2025-12-13T06:36:42Z</dcterms:modified>
</cp:coreProperties>
</file>

<file path=docProps/custom.xml><?xml version="1.0" encoding="utf-8"?>
<Properties xmlns="http://schemas.openxmlformats.org/officeDocument/2006/custom-properties" xmlns:vt="http://schemas.openxmlformats.org/officeDocument/2006/docPropsVTypes"/>
</file>