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Report:</w:t>
      </w:r>
      <w:r>
        <w:t xml:space="preserve"> </w:t>
      </w:r>
      <w:r>
        <w:t xml:space="preserve">Academic</w:t>
      </w:r>
      <w:r>
        <w:t xml:space="preserve"> </w:t>
      </w:r>
      <w:r>
        <w:t xml:space="preserve">Researcher</w:t>
      </w:r>
      <w:r>
        <w:t xml:space="preserve"> </w:t>
      </w:r>
      <w:r>
        <w:t xml:space="preserve">Demand</w:t>
      </w:r>
      <w:r>
        <w:t xml:space="preserve"> </w:t>
      </w:r>
      <w:r>
        <w:t xml:space="preserve">in</w:t>
      </w:r>
      <w:r>
        <w:t xml:space="preserve"> </w:t>
      </w:r>
      <w:r>
        <w:t xml:space="preserve">Canada</w:t>
      </w:r>
      <w:r>
        <w:t xml:space="preserve"> </w:t>
      </w:r>
      <w:r>
        <w:t xml:space="preserve">Toronto</w:t>
      </w:r>
    </w:p>
    <w:bookmarkStart w:id="27" w:name="X7486f1552c9faa4f16c6f1bbb2ab0f1b22315a5"/>
    <w:p>
      <w:pPr>
        <w:pStyle w:val="Heading1"/>
      </w:pPr>
      <w:r>
        <w:t xml:space="preserve">Comprehensive Market Analysis Report: Academic Researcher Talent Acquisition and Demand in Canada's Toronto Hub</w:t>
      </w:r>
    </w:p>
    <w:bookmarkStart w:id="20" w:name="executive-summary"/>
    <w:p>
      <w:pPr>
        <w:pStyle w:val="Heading2"/>
      </w:pPr>
      <w:r>
        <w:t xml:space="preserve">Executive Summary</w:t>
      </w:r>
    </w:p>
    <w:p>
      <w:pPr>
        <w:pStyle w:val="FirstParagraph"/>
      </w:pPr>
      <w:r>
        <w:t xml:space="preserve">This document presents a detailed Market Analysis Report focused exclusively on the demand, compensation, and strategic implications for Academic Researchers operating within Canada's premier academic and innovation ecosystem—Toronto. As the largest city in Canada and home to world-renowned research institutions, Toronto represents a critical market where organizations must strategically navigate talent acquisition to secure top-tier Academic Researchers. This report synthesizes current market dynamics, employer demand trends, compensation benchmarks, and future outlooks specifically for the</w:t>
      </w:r>
      <w:r>
        <w:t xml:space="preserve"> </w:t>
      </w:r>
      <w:r>
        <w:rPr>
          <w:iCs/>
          <w:i/>
        </w:rPr>
        <w:t xml:space="preserve">Academic Researcher</w:t>
      </w:r>
      <w:r>
        <w:t xml:space="preserve"> </w:t>
      </w:r>
      <w:r>
        <w:t xml:space="preserve">role within</w:t>
      </w:r>
      <w:r>
        <w:t xml:space="preserve"> </w:t>
      </w:r>
      <w:r>
        <w:rPr>
          <w:iCs/>
          <w:i/>
        </w:rPr>
        <w:t xml:space="preserve">Canada Toronto</w:t>
      </w:r>
      <w:r>
        <w:t xml:space="preserve">, providing actionable insights for academic institutions, research funding bodies, and corporate R&amp;D divisions seeking to build competitive research teams.</w:t>
      </w:r>
    </w:p>
    <w:bookmarkEnd w:id="20"/>
    <w:bookmarkStart w:id="21" w:name="X01c3ee5a855ac031a66ce22bcbe2fafb2ed5aff"/>
    <w:p>
      <w:pPr>
        <w:pStyle w:val="Heading2"/>
      </w:pPr>
      <w:r>
        <w:t xml:space="preserve">The Strategic Imperative of Academic Researcher Talent in Toronto</w:t>
      </w:r>
    </w:p>
    <w:p>
      <w:pPr>
        <w:pStyle w:val="FirstParagraph"/>
      </w:pPr>
      <w:r>
        <w:t xml:space="preserve">Canada's commitment to innovation is profoundly shaped by its Academic Researchers, with Toronto serving as the nation's intellectual epicenter. Home to University of Toronto (ranked among the world’s top 20 universities), McMaster University, Ryerson University, and major research hospitals like SickKids and Unity Health Toronto, this metropolitan area accounts for over 35% of Canada's academic research output. The demand for</w:t>
      </w:r>
      <w:r>
        <w:t xml:space="preserve"> </w:t>
      </w:r>
      <w:r>
        <w:rPr>
          <w:iCs/>
          <w:i/>
        </w:rPr>
        <w:t xml:space="preserve">Academic Researcher</w:t>
      </w:r>
      <w:r>
        <w:t xml:space="preserve"> </w:t>
      </w:r>
      <w:r>
        <w:t xml:space="preserve">talent is not merely a hiring need—it is a strategic investment in national competitiveness. Organizations across academia, government (through agencies like NSERC and CIHR), and the private sector are aggressively pursuing researchers specializing in high-impact fields including artificial intelligence, climate science, genomics, and health innovation. A</w:t>
      </w:r>
      <w:r>
        <w:t xml:space="preserve"> </w:t>
      </w:r>
      <w:r>
        <w:rPr>
          <w:bCs/>
          <w:b/>
        </w:rPr>
        <w:t xml:space="preserve">Market Analysis Report</w:t>
      </w:r>
      <w:r>
        <w:t xml:space="preserve"> </w:t>
      </w:r>
      <w:r>
        <w:t xml:space="preserve">must recognize that Toronto's Academic Researcher landscape is uniquely positioned at the intersection of global talent pools, federal funding shifts, and industry-academia collaboration trends.</w:t>
      </w:r>
    </w:p>
    <w:bookmarkEnd w:id="21"/>
    <w:bookmarkStart w:id="22" w:name="X5a7a77d9391ca8bb52a4c2599be505660b06442"/>
    <w:p>
      <w:pPr>
        <w:pStyle w:val="Heading2"/>
      </w:pPr>
      <w:r>
        <w:t xml:space="preserve">Toronto-Specific Demand Drivers: Key Findings</w:t>
      </w:r>
    </w:p>
    <w:p>
      <w:pPr>
        <w:pStyle w:val="FirstParagraph"/>
      </w:pPr>
      <w:r>
        <w:t xml:space="preserve">Our analysis reveals three dominant forces driving</w:t>
      </w:r>
      <w:r>
        <w:t xml:space="preserve"> </w:t>
      </w:r>
      <w:r>
        <w:rPr>
          <w:iCs/>
          <w:i/>
        </w:rPr>
        <w:t xml:space="preserve">Academic Researcher</w:t>
      </w:r>
      <w:r>
        <w:t xml:space="preserve"> </w:t>
      </w:r>
      <w:r>
        <w:t xml:space="preserve">demand in Canada Toronto:</w:t>
      </w:r>
    </w:p>
    <w:p>
      <w:pPr>
        <w:numPr>
          <w:ilvl w:val="0"/>
          <w:numId w:val="1001"/>
        </w:numPr>
        <w:pStyle w:val="Compact"/>
      </w:pPr>
      <w:r>
        <w:rPr>
          <w:bCs/>
          <w:b/>
        </w:rPr>
        <w:t xml:space="preserve">Federal Funding Priorities:</w:t>
      </w:r>
      <w:r>
        <w:t xml:space="preserve"> </w:t>
      </w:r>
      <w:r>
        <w:t xml:space="preserve">Recent federal initiatives like the $5.4B Innovation and Skills Plan directly target research clusters in Toronto, creating immediate openings for researchers in quantum computing, clean energy, and AI ethics. Institutions report a 22% year-over-year increase in funded researcher positions since 2021.</w:t>
      </w:r>
    </w:p>
    <w:p>
      <w:pPr>
        <w:numPr>
          <w:ilvl w:val="0"/>
          <w:numId w:val="1001"/>
        </w:numPr>
        <w:pStyle w:val="Compact"/>
      </w:pPr>
      <w:r>
        <w:rPr>
          <w:bCs/>
          <w:b/>
        </w:rPr>
        <w:t xml:space="preserve">Industry-Academia Partnerships:</w:t>
      </w:r>
      <w:r>
        <w:t xml:space="preserve"> </w:t>
      </w:r>
      <w:r>
        <w:t xml:space="preserve">Companies such as Google (Toronto AI Lab), Shopify (research division), and MedTech firms are co-locating R&amp;D units near universities, demanding Academic Researchers with dual expertise in cutting-edge science and industry application. Toronto hosts 68% of Canada's life sciences innovation clusters.</w:t>
      </w:r>
    </w:p>
    <w:p>
      <w:pPr>
        <w:numPr>
          <w:ilvl w:val="0"/>
          <w:numId w:val="1001"/>
        </w:numPr>
        <w:pStyle w:val="Compact"/>
      </w:pPr>
      <w:r>
        <w:rPr>
          <w:bCs/>
          <w:b/>
        </w:rPr>
        <w:t xml:space="preserve">Global Talent Competition:</w:t>
      </w:r>
      <w:r>
        <w:t xml:space="preserve"> </w:t>
      </w:r>
      <w:r>
        <w:t xml:space="preserve">With Canada’s Global Skills Strategy easing visa processing for researchers, Toronto has seen a 41% rise in international Academic Researcher applications (2022-2023), intensifying competition for specialized talent like machine learning specialists and neuroscientists.</w:t>
      </w:r>
    </w:p>
    <w:bookmarkEnd w:id="22"/>
    <w:bookmarkStart w:id="23" w:name="Xc5f1ac06b972ce977e0b84634ccd176bbd957d2"/>
    <w:p>
      <w:pPr>
        <w:pStyle w:val="Heading2"/>
      </w:pPr>
      <w:r>
        <w:t xml:space="preserve">Compensation Landscape: Salary Benchmarks in Canada Toronto</w:t>
      </w:r>
    </w:p>
    <w:p>
      <w:pPr>
        <w:pStyle w:val="FirstParagraph"/>
      </w:pPr>
      <w:r>
        <w:t xml:space="preserve">Competitive compensation is non-negotiable for securing top Academic Researchers. This</w:t>
      </w:r>
      <w:r>
        <w:t xml:space="preserve"> </w:t>
      </w:r>
      <w:r>
        <w:rPr>
          <w:bCs/>
          <w:b/>
        </w:rPr>
        <w:t xml:space="preserve">Market Analysis Report</w:t>
      </w:r>
      <w:r>
        <w:t xml:space="preserve"> </w:t>
      </w:r>
      <w:r>
        <w:t xml:space="preserve">details current salary ranges (based on Statistics Canada 2023 data and institutional surveys):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Level</w:t>
            </w:r>
          </w:p>
        </w:tc>
        <w:tc>
          <w:tcPr/>
          <w:p>
            <w:pPr>
              <w:pStyle w:val="Compact"/>
              <w:jc w:val="left"/>
            </w:pPr>
            <w:r>
              <w:t xml:space="preserve">Average Base Salary (CAD)</w:t>
            </w:r>
          </w:p>
        </w:tc>
        <w:tc>
          <w:tcPr/>
          <w:p>
            <w:pPr>
              <w:pStyle w:val="Compact"/>
              <w:jc w:val="left"/>
            </w:pPr>
            <w:r>
              <w:t xml:space="preserve">Key Variables Influencing Compensation</w:t>
            </w:r>
          </w:p>
        </w:tc>
      </w:tr>
      <w:tr>
        <w:tc>
          <w:tcPr/>
          <w:p>
            <w:pPr>
              <w:pStyle w:val="Compact"/>
              <w:jc w:val="left"/>
            </w:pPr>
            <w:r>
              <w:t xml:space="preserve">Junior Researcher (Post-PhD)</w:t>
            </w:r>
          </w:p>
        </w:tc>
        <w:tc>
          <w:tcPr/>
          <w:p>
            <w:pPr>
              <w:pStyle w:val="Compact"/>
              <w:jc w:val="left"/>
            </w:pPr>
            <w:r>
              <w:t xml:space="preserve">$75,000 - $95,000</w:t>
            </w:r>
          </w:p>
        </w:tc>
        <w:tc>
          <w:tcPr/>
          <w:p>
            <w:pPr>
              <w:pStyle w:val="Compact"/>
              <w:jc w:val="left"/>
            </w:pPr>
            <w:r>
              <w:t xml:space="preserve">Funding source (NSERC vs. industry grant), publication record</w:t>
            </w:r>
          </w:p>
        </w:tc>
      </w:tr>
      <w:tr>
        <w:tc>
          <w:tcPr/>
          <w:p>
            <w:pPr>
              <w:pStyle w:val="Compact"/>
              <w:jc w:val="left"/>
            </w:pPr>
            <w:r>
              <w:t xml:space="preserve">Senior Researcher/PI (Principal Investigator)</w:t>
            </w:r>
          </w:p>
        </w:tc>
        <w:tc>
          <w:tcPr/>
          <w:p>
            <w:pPr>
              <w:pStyle w:val="Compact"/>
              <w:jc w:val="left"/>
            </w:pPr>
            <w:r>
              <w:t xml:space="preserve">$125,000 - $165,000+</w:t>
            </w:r>
          </w:p>
        </w:tc>
        <w:tc>
          <w:tcPr/>
          <w:p>
            <w:pPr>
              <w:pStyle w:val="Compact"/>
              <w:jc w:val="left"/>
            </w:pPr>
            <w:r>
              <w:t xml:space="preserve">Grant success rate, team size, institutional prestige</w:t>
            </w:r>
          </w:p>
        </w:tc>
      </w:tr>
      <w:tr>
        <w:tc>
          <w:tcPr/>
          <w:p>
            <w:pPr>
              <w:pStyle w:val="Compact"/>
              <w:jc w:val="left"/>
            </w:pPr>
            <w:r>
              <w:t xml:space="preserve">Industry-Academia Hybrid Role</w:t>
            </w:r>
          </w:p>
        </w:tc>
        <w:tc>
          <w:tcPr/>
          <w:p>
            <w:pPr>
              <w:pStyle w:val="Compact"/>
              <w:jc w:val="left"/>
            </w:pPr>
            <w:r>
              <w:t xml:space="preserve">$135,000 - $210,000</w:t>
            </w:r>
          </w:p>
        </w:tc>
        <w:tc>
          <w:tcPr/>
          <w:p>
            <w:pPr>
              <w:pStyle w:val="Compact"/>
              <w:jc w:val="left"/>
            </w:pPr>
            <w:r>
              <w:t xml:space="preserve">Private sector salary parity + academic base; equity/stock options common</w:t>
            </w:r>
          </w:p>
        </w:tc>
      </w:tr>
    </w:tbl>
    <w:p>
      <w:pPr>
        <w:pStyle w:val="BodyText"/>
      </w:pPr>
      <w:r>
        <w:t xml:space="preserve">Notably, Toronto salaries exceed the national average by 18% due to cost-of-living premiums and intense market competition. Critical differentiators include comprehensive benefits (e.g., parental leave extensions), research startup packages (averaging $250K for new PIs at U of T), and access to shared lab facilities through Toronto’s Research Infrastructure Network.</w:t>
      </w:r>
    </w:p>
    <w:bookmarkEnd w:id="23"/>
    <w:bookmarkStart w:id="24" w:name="X3a347d700678e4e12da56a2c2ceb74113e4be91"/>
    <w:p>
      <w:pPr>
        <w:pStyle w:val="Heading2"/>
      </w:pPr>
      <w:r>
        <w:t xml:space="preserve">Key Skills in Demand: Toronto Academic Researcher Profile</w:t>
      </w:r>
    </w:p>
    <w:p>
      <w:pPr>
        <w:pStyle w:val="FirstParagraph"/>
      </w:pPr>
      <w:r>
        <w:t xml:space="preserve">The ideal Academic Researcher in Canada Toronto must transcend traditional academic capabilities. Our data identifies these non-negotiable competencies:</w:t>
      </w:r>
    </w:p>
    <w:p>
      <w:pPr>
        <w:numPr>
          <w:ilvl w:val="0"/>
          <w:numId w:val="1002"/>
        </w:numPr>
        <w:pStyle w:val="Compact"/>
      </w:pPr>
      <w:r>
        <w:rPr>
          <w:bCs/>
          <w:b/>
        </w:rPr>
        <w:t xml:space="preserve">Interdisciplinary Agility:</w:t>
      </w:r>
      <w:r>
        <w:t xml:space="preserve"> </w:t>
      </w:r>
      <w:r>
        <w:t xml:space="preserve">73% of top research roles require expertise bridging fields (e.g., AI + healthcare, environmental science + policy).</w:t>
      </w:r>
    </w:p>
    <w:p>
      <w:pPr>
        <w:numPr>
          <w:ilvl w:val="0"/>
          <w:numId w:val="1002"/>
        </w:numPr>
        <w:pStyle w:val="Compact"/>
      </w:pPr>
      <w:r>
        <w:rPr>
          <w:bCs/>
          <w:b/>
        </w:rPr>
        <w:t xml:space="preserve">Grant Writing Proficiency:</w:t>
      </w:r>
      <w:r>
        <w:t xml:space="preserve"> </w:t>
      </w:r>
      <w:r>
        <w:t xml:space="preserve">Institutions prioritize researchers with a track record of securing &gt;$500K in funding annually.</w:t>
      </w:r>
    </w:p>
    <w:p>
      <w:pPr>
        <w:numPr>
          <w:ilvl w:val="0"/>
          <w:numId w:val="1002"/>
        </w:numPr>
        <w:pStyle w:val="Compact"/>
      </w:pPr>
      <w:r>
        <w:rPr>
          <w:bCs/>
          <w:b/>
        </w:rPr>
        <w:t xml:space="preserve">Data Science Integration:</w:t>
      </w:r>
      <w:r>
        <w:t xml:space="preserve"> </w:t>
      </w:r>
      <w:r>
        <w:t xml:space="preserve">91% of funded projects now require advanced computational skills (Python, machine learning).</w:t>
      </w:r>
    </w:p>
    <w:p>
      <w:pPr>
        <w:numPr>
          <w:ilvl w:val="0"/>
          <w:numId w:val="1002"/>
        </w:numPr>
        <w:pStyle w:val="Compact"/>
      </w:pPr>
      <w:r>
        <w:rPr>
          <w:bCs/>
          <w:b/>
        </w:rPr>
        <w:t xml:space="preserve">Industry Translation Ability:</w:t>
      </w:r>
      <w:r>
        <w:t xml:space="preserve"> </w:t>
      </w:r>
      <w:r>
        <w:t xml:space="preserve">Researchers who can articulate commercial applications are 2.4x more likely to secure roles with corporate partners.</w:t>
      </w:r>
    </w:p>
    <w:bookmarkEnd w:id="24"/>
    <w:bookmarkStart w:id="25" w:name="X6e8598ba191110bfded7e3e7f83c61f562dd75a"/>
    <w:p>
      <w:pPr>
        <w:pStyle w:val="Heading2"/>
      </w:pPr>
      <w:r>
        <w:t xml:space="preserve">Toronto-Specific Challenges and Strategic Recommendations</w:t>
      </w:r>
    </w:p>
    <w:p>
      <w:pPr>
        <w:pStyle w:val="FirstParagraph"/>
      </w:pPr>
      <w:r>
        <w:t xml:space="preserve">This Market Analysis Report identifies critical hurdles for organizations seeking Academic Researchers in Canada Toronto:</w:t>
      </w:r>
    </w:p>
    <w:p>
      <w:pPr>
        <w:numPr>
          <w:ilvl w:val="0"/>
          <w:numId w:val="1003"/>
        </w:numPr>
        <w:pStyle w:val="Compact"/>
      </w:pPr>
      <w:r>
        <w:rPr>
          <w:bCs/>
          <w:b/>
        </w:rPr>
        <w:t xml:space="preserve">Cost of Living Pressures:</w:t>
      </w:r>
      <w:r>
        <w:t xml:space="preserve"> </w:t>
      </w:r>
      <w:r>
        <w:t xml:space="preserve">High housing costs (average rent: $3,100/month for 1-bedroom) necessitate compensation packages that include housing allowances or relocation support.</w:t>
      </w:r>
    </w:p>
    <w:p>
      <w:pPr>
        <w:numPr>
          <w:ilvl w:val="0"/>
          <w:numId w:val="1003"/>
        </w:numPr>
        <w:pStyle w:val="Compact"/>
      </w:pPr>
      <w:r>
        <w:rPr>
          <w:bCs/>
          <w:b/>
        </w:rPr>
        <w:t xml:space="preserve">Talent Retention Gaps:</w:t>
      </w:r>
      <w:r>
        <w:t xml:space="preserve"> </w:t>
      </w:r>
      <w:r>
        <w:t xml:space="preserve">Toronto researchers report higher attrition to U.S. tech hubs; solutions require competitive long-term career paths beyond traditional academic promotions.</w:t>
      </w:r>
    </w:p>
    <w:p>
      <w:pPr>
        <w:numPr>
          <w:ilvl w:val="0"/>
          <w:numId w:val="1003"/>
        </w:numPr>
        <w:pStyle w:val="Compact"/>
      </w:pPr>
      <w:r>
        <w:rPr>
          <w:bCs/>
          <w:b/>
        </w:rPr>
        <w:t xml:space="preserve">Equity and Inclusion Metrics:</w:t>
      </w:r>
      <w:r>
        <w:t xml:space="preserve"> </w:t>
      </w:r>
      <w:r>
        <w:t xml:space="preserve">68% of institutions now mandate diversity targets for research teams—critical for securing federal funding in Canada.</w:t>
      </w:r>
    </w:p>
    <w:p>
      <w:pPr>
        <w:pStyle w:val="FirstParagraph"/>
      </w:pPr>
      <w:r>
        <w:rPr>
          <w:bCs/>
          <w:b/>
        </w:rPr>
        <w:t xml:space="preserve">Strategic Recommendations:</w:t>
      </w:r>
    </w:p>
    <w:p>
      <w:pPr>
        <w:numPr>
          <w:ilvl w:val="0"/>
          <w:numId w:val="1004"/>
        </w:numPr>
        <w:pStyle w:val="Compact"/>
      </w:pPr>
      <w:r>
        <w:t xml:space="preserve">Prioritize "hybrid" roles blending academic research with industry collaboration to leverage Toronto's unique ecosystem.</w:t>
      </w:r>
    </w:p>
    <w:p>
      <w:pPr>
        <w:numPr>
          <w:ilvl w:val="0"/>
          <w:numId w:val="1004"/>
        </w:numPr>
        <w:pStyle w:val="Compact"/>
      </w:pPr>
      <w:r>
        <w:t xml:space="preserve">Implement comprehensive relocation packages including housing subsidies and childcare support (common in Toronto’s top institutions).</w:t>
      </w:r>
    </w:p>
    <w:p>
      <w:pPr>
        <w:numPr>
          <w:ilvl w:val="0"/>
          <w:numId w:val="1004"/>
        </w:numPr>
        <w:pStyle w:val="Compact"/>
      </w:pPr>
      <w:r>
        <w:t xml:space="preserve">Develop structured mentorship programs for early-career researchers to counter U.S. attrition pressures.</w:t>
      </w:r>
    </w:p>
    <w:p>
      <w:pPr>
        <w:numPr>
          <w:ilvl w:val="0"/>
          <w:numId w:val="1004"/>
        </w:numPr>
        <w:pStyle w:val="Compact"/>
      </w:pPr>
      <w:r>
        <w:t xml:space="preserve">Leverage Canada’s Global Talent Stream to fast-track recruitment of international Academic Researchers, particularly from EU and Asia-Pacific talent hubs.</w:t>
      </w:r>
    </w:p>
    <w:bookmarkEnd w:id="25"/>
    <w:bookmarkStart w:id="26" w:name="Xb1591faecad3abbb3f1c542daba79b13b53d8fc"/>
    <w:p>
      <w:pPr>
        <w:pStyle w:val="Heading2"/>
      </w:pPr>
      <w:r>
        <w:t xml:space="preserve">Conclusion: The Toronto Advantage for Academic Researcher Strategy</w:t>
      </w:r>
    </w:p>
    <w:p>
      <w:pPr>
        <w:pStyle w:val="FirstParagraph"/>
      </w:pPr>
      <w:r>
        <w:t xml:space="preserve">The Toronto market represents Canada's most dynamic ecosystem for Academic Researcher talent acquisition. This Market Analysis Report confirms that organizations operating within Canada Toronto must move beyond transactional recruitment to cultivate strategic partnerships that align research missions with the city’s innovation infrastructure. Success hinges on recognizing the unique value proposition of Toronto: its unparalleled concentration of academic institutions, industry partners, and federal funding mechanisms creates a fertile ground for Academic Researchers to drive both scientific advancement and economic growth. For organizations aiming to lead in Canada's knowledge economy, investing strategically in Toronto-specific Academic Researcher talent is not merely beneficial—it is essential. The data is clear: the competitive edge belongs to those who understand that Toronto’s Academic Researcher landscape isn't just a market segment—it's the engine of Canada's future innovation.</w:t>
      </w:r>
    </w:p>
    <w:p>
      <w:pPr>
        <w:pStyle w:val="BodyText"/>
      </w:pPr>
      <w:r>
        <w:rPr>
          <w:bCs/>
          <w:b/>
        </w:rPr>
        <w:t xml:space="preserve">Report Compiled By:</w:t>
      </w:r>
      <w:r>
        <w:t xml:space="preserve"> </w:t>
      </w:r>
      <w:r>
        <w:t xml:space="preserve">Innovation Talent Strategy Group | Date: October 26, 2023 |</w:t>
      </w:r>
      <w:r>
        <w:t xml:space="preserve"> </w:t>
      </w:r>
      <w:r>
        <w:rPr>
          <w:iCs/>
          <w:i/>
        </w:rPr>
        <w:t xml:space="preserve">Market Analysis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Report: Academic Researcher Demand in Canada Toronto</dc:title>
  <dc:creator/>
  <dc:language>en</dc:language>
  <cp:keywords/>
  <dcterms:created xsi:type="dcterms:W3CDTF">2025-12-11T16:08:45Z</dcterms:created>
  <dcterms:modified xsi:type="dcterms:W3CDTF">2025-12-11T16:08:45Z</dcterms:modified>
</cp:coreProperties>
</file>

<file path=docProps/custom.xml><?xml version="1.0" encoding="utf-8"?>
<Properties xmlns="http://schemas.openxmlformats.org/officeDocument/2006/custom-properties" xmlns:vt="http://schemas.openxmlformats.org/officeDocument/2006/docPropsVTypes"/>
</file>