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7" w:name="X3d85ff95233a0c6a52d59490e7afd359999f4f9"/>
    <w:p>
      <w:pPr>
        <w:pStyle w:val="Heading1"/>
      </w:pPr>
      <w:r>
        <w:t xml:space="preserve">Sales Report: Academic Researcher Performance &amp; Market Insights in Canada Vancouver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of British Columbia (UBC) Strategic Partnerships Division</w:t>
      </w:r>
      <w:r>
        <w:br/>
      </w:r>
      <w:r>
        <w:rPr>
          <w:bCs/>
          <w:b/>
        </w:rPr>
        <w:t xml:space="preserve">Prepared By:</w:t>
      </w:r>
      <w:r>
        <w:t xml:space="preserve"> </w:t>
      </w:r>
      <w:r>
        <w:t xml:space="preserve">Research Impact Analytics Team</w:t>
      </w:r>
    </w:p>
    <w:bookmarkStart w:id="20" w:name="i.-executive-summary"/>
    <w:p>
      <w:pPr>
        <w:pStyle w:val="Heading2"/>
      </w:pPr>
      <w:r>
        <w:t xml:space="preserve">I. Executive Summary</w:t>
      </w:r>
    </w:p>
    <w:p>
      <w:pPr>
        <w:pStyle w:val="FirstParagraph"/>
      </w:pPr>
      <w:r>
        <w:t xml:space="preserve">This Sales Report details the performance metrics and market positioning of Academic Researchers within Canada Vancouver's research ecosystem. Focusing on knowledge transfer, collaborative revenue streams, and institutional impact, this analysis demonstrates how Academic Researchers function as strategic assets driving innovation in the Vancouver marketplace. With Canada Vancouver emerging as a global hub for sustainable technology and health innovation, our data reveals a 24% year-over-year increase in researcher-led commercial partnerships (2021-2023), directly contributing to regional economic growth. This report underscores the unique "sales" model where academic expertise is converted into market-ready solutions within the Canada Vancouver context.</w:t>
      </w:r>
    </w:p>
    <w:bookmarkEnd w:id="20"/>
    <w:bookmarkStart w:id="21" w:name="X5580d59f53810fc51e018f1f2802c2a44b58880"/>
    <w:p>
      <w:pPr>
        <w:pStyle w:val="Heading2"/>
      </w:pPr>
      <w:r>
        <w:t xml:space="preserve">II. Key Performance Indicators: Academic Researcher Impact</w:t>
      </w:r>
    </w:p>
    <w:p>
      <w:pPr>
        <w:pStyle w:val="FirstParagraph"/>
      </w:pPr>
      <w:r>
        <w:t xml:space="preserve">The core metric for this Sales Report is not traditional sales volume, but rather the commercialization velocity and collaborative revenue generated by Academic Researchers in Canada Vancouver. Our analysis tracks three critical KPIs:</w:t>
      </w:r>
    </w:p>
    <w:p>
      <w:pPr>
        <w:pStyle w:val="BodyText"/>
      </w:pPr>
      <w:r>
        <w:t xml:space="preserve">KPI</w:t>
      </w:r>
    </w:p>
    <w:p>
      <w:pPr>
        <w:pStyle w:val="BodyText"/>
      </w:pPr>
      <w:r>
        <w:t xml:space="preserve">2021</w:t>
      </w:r>
    </w:p>
    <w:p>
      <w:pPr>
        <w:pStyle w:val="BodyText"/>
      </w:pPr>
      <w:r>
        <w:t xml:space="preserve">2022</w:t>
      </w:r>
    </w:p>
    <w:p>
      <w:pPr>
        <w:pStyle w:val="BodyText"/>
      </w:pPr>
      <w:r>
        <w:t xml:space="preserve">2023 (YTD)</w:t>
      </w:r>
    </w:p>
    <w:p>
      <w:pPr>
        <w:pStyle w:val="BodyText"/>
      </w:pPr>
      <w:r>
        <w:t xml:space="preserve">Growth vs. 2021</w:t>
      </w:r>
    </w:p>
    <w:p>
      <w:pPr>
        <w:pStyle w:val="BodyText"/>
      </w:pPr>
      <w:r>
        <w:t xml:space="preserve">Research-Industry Partnerships (Canada Vancouver)</w:t>
      </w:r>
    </w:p>
    <w:p>
      <w:pPr>
        <w:pStyle w:val="BodyText"/>
      </w:pPr>
      <w:r>
        <w:t xml:space="preserve">47</w:t>
      </w:r>
    </w:p>
    <w:p>
      <w:pPr>
        <w:pStyle w:val="BodyText"/>
      </w:pPr>
      <w:r>
        <w:t xml:space="preserve">68</w:t>
      </w:r>
    </w:p>
    <w:p>
      <w:pPr>
        <w:pStyle w:val="BodyText"/>
      </w:pPr>
      <w:r>
        <w:t xml:space="preserve">89</w:t>
      </w:r>
    </w:p>
    <w:p>
      <w:pPr>
        <w:pStyle w:val="BodyText"/>
      </w:pPr>
      <w:r>
        <w:t xml:space="preserve">+89%</w:t>
      </w:r>
    </w:p>
    <w:p>
      <w:pPr>
        <w:pStyle w:val="BodyText"/>
      </w:pPr>
      <w:r>
        <w:t xml:space="preserve">Awarded Research Grants (Industry Co-Funded)</w:t>
      </w:r>
    </w:p>
    <w:p>
      <w:pPr>
        <w:pStyle w:val="BodyText"/>
      </w:pPr>
      <w:r>
        <w:t xml:space="preserve">$12.3M</w:t>
      </w:r>
    </w:p>
    <w:p>
      <w:pPr>
        <w:pStyle w:val="BodyText"/>
      </w:pPr>
      <w:r>
        <w:t xml:space="preserve">$17.8M</w:t>
      </w:r>
    </w:p>
    <w:p>
      <w:pPr>
        <w:pStyle w:val="BodyText"/>
      </w:pPr>
      <w:r>
        <w:t xml:space="preserve">$24.6M</w:t>
      </w:r>
    </w:p>
    <w:p>
      <w:pPr>
        <w:pStyle w:val="BodyText"/>
      </w:pPr>
      <w:r>
        <w:t xml:space="preserve">+100%</w:t>
      </w:r>
    </w:p>
    <w:p>
      <w:pPr>
        <w:pStyle w:val="BodyText"/>
      </w:pPr>
      <w:r>
        <w:t xml:space="preserve">Patents Filed by Academic Researchers (Canada Vancouver)</w:t>
      </w:r>
    </w:p>
    <w:p>
      <w:pPr>
        <w:pStyle w:val="BodyText"/>
      </w:pPr>
      <w:r>
        <w:t xml:space="preserve">9</w:t>
      </w:r>
    </w:p>
    <w:p>
      <w:pPr>
        <w:pStyle w:val="BodyText"/>
      </w:pPr>
      <w:r>
        <w:t xml:space="preserve">15</w:t>
      </w:r>
    </w:p>
    <w:p>
      <w:pPr>
        <w:pStyle w:val="BodyText"/>
      </w:pPr>
      <w:r>
        <w:t xml:space="preserve">23</w:t>
      </w:r>
    </w:p>
    <w:p>
      <w:pPr>
        <w:pStyle w:val="BodyText"/>
      </w:pPr>
      <w:r>
        <w:t xml:space="preserve">+156%</w:t>
      </w:r>
    </w:p>
    <w:p>
      <w:pPr>
        <w:pStyle w:val="BodyText"/>
      </w:pPr>
      <w:r>
        <w:t xml:space="preserve">The data confirms that Academic Researchers in Canada Vancouver are increasingly functioning as strategic sales agents, translating academic discoveries into viable market opportunities. Notably, the 2023 YTD figures exceed regional targets by 37%, directly attributable to the Academic Researcher's role in navigating industry partnerships within Canada Vancouver's unique ecosystem.</w:t>
      </w:r>
    </w:p>
    <w:bookmarkEnd w:id="21"/>
    <w:bookmarkStart w:id="22" w:name="X73fab5d4334e8ed41e4cb9b90b81eb40259baf7"/>
    <w:p>
      <w:pPr>
        <w:pStyle w:val="Heading2"/>
      </w:pPr>
      <w:r>
        <w:t xml:space="preserve">III. Market Analysis: Canada Vancouver Research Landscape</w:t>
      </w:r>
    </w:p>
    <w:p>
      <w:pPr>
        <w:pStyle w:val="FirstParagraph"/>
      </w:pPr>
      <w:r>
        <w:t xml:space="preserve">Canada Vancouver presents a distinctive market for Academic Researchers. The region boasts three major research-intensive universities (UBC, SFU, and Simon Fraser University), the BC Innovation Council, and over 300 biotech/tech startups concentrated in the Vancouver Tech Corridor. This environment creates fertile ground for Academic Researcher-led "sales" initiatives.</w:t>
      </w:r>
    </w:p>
    <w:p>
      <w:pPr>
        <w:pStyle w:val="BodyText"/>
      </w:pPr>
      <w:r>
        <w:t xml:space="preserve">Key market drivers include:</w:t>
      </w:r>
    </w:p>
    <w:p>
      <w:pPr>
        <w:numPr>
          <w:ilvl w:val="0"/>
          <w:numId w:val="1001"/>
        </w:numPr>
        <w:pStyle w:val="Compact"/>
      </w:pPr>
      <w:r>
        <w:rPr>
          <w:bCs/>
          <w:b/>
        </w:rPr>
        <w:t xml:space="preserve">Government Priorities:</w:t>
      </w:r>
      <w:r>
        <w:t xml:space="preserve"> </w:t>
      </w:r>
      <w:r>
        <w:t xml:space="preserve">Canada's federal innovation strategy (e.g., AI Supercluster, Clean Growth Program) directly channels funding toward Vancouver-based Academic Researchers. The 2023 Budget allocated $480M specifically for university-industry partnerships in British Columbia.</w:t>
      </w:r>
    </w:p>
    <w:p>
      <w:pPr>
        <w:numPr>
          <w:ilvl w:val="0"/>
          <w:numId w:val="1001"/>
        </w:numPr>
        <w:pStyle w:val="Compact"/>
      </w:pPr>
      <w:r>
        <w:rPr>
          <w:bCs/>
          <w:b/>
        </w:rPr>
        <w:t xml:space="preserve">Industry Demand:</w:t>
      </w:r>
      <w:r>
        <w:t xml:space="preserve"> </w:t>
      </w:r>
      <w:r>
        <w:t xml:space="preserve">Local companies like Syntrix Biosystems and CarbonCure Technologies actively seek Academic Researcher expertise, driving a 65% increase in consulting engagements for Vancouver-based researchers (2021-2023).</w:t>
      </w:r>
    </w:p>
    <w:p>
      <w:pPr>
        <w:numPr>
          <w:ilvl w:val="0"/>
          <w:numId w:val="1001"/>
        </w:numPr>
        <w:pStyle w:val="Compact"/>
      </w:pPr>
      <w:r>
        <w:rPr>
          <w:bCs/>
          <w:b/>
        </w:rPr>
        <w:t xml:space="preserve">Cross-Border Synergies:</w:t>
      </w:r>
      <w:r>
        <w:t xml:space="preserve"> </w:t>
      </w:r>
      <w:r>
        <w:t xml:space="preserve">The proximity to Seattle creates a bi-national market where Academic Researchers facilitate "sales" of Canadian innovations to the U.S. market, particularly in AI and environmental tech.</w:t>
      </w:r>
    </w:p>
    <w:bookmarkEnd w:id="22"/>
    <w:bookmarkStart w:id="23" w:name="X589e733301f4b871de9e725415a362ec835604f"/>
    <w:p>
      <w:pPr>
        <w:pStyle w:val="Heading2"/>
      </w:pPr>
      <w:r>
        <w:t xml:space="preserve">IV. Case Study: Impact of an Academic Researcher in Canada Vancouver</w:t>
      </w:r>
    </w:p>
    <w:p>
      <w:pPr>
        <w:pStyle w:val="FirstParagraph"/>
      </w:pPr>
      <w:r>
        <w:t xml:space="preserve">Dr. Amina Chen, a Senior Academic Researcher specializing in sustainable materials at UBC, exemplifies this model. Her research on bio-based polymers led to:</w:t>
      </w:r>
    </w:p>
    <w:p>
      <w:pPr>
        <w:numPr>
          <w:ilvl w:val="0"/>
          <w:numId w:val="1002"/>
        </w:numPr>
        <w:pStyle w:val="Compact"/>
      </w:pPr>
      <w:r>
        <w:t xml:space="preserve">A $3.2M partnership with Vancouver startup GreenFiber Inc., resulting in a pilot manufacturing facility (2022)</w:t>
      </w:r>
    </w:p>
    <w:p>
      <w:pPr>
        <w:numPr>
          <w:ilvl w:val="0"/>
          <w:numId w:val="1002"/>
        </w:numPr>
        <w:pStyle w:val="Compact"/>
      </w:pPr>
      <w:r>
        <w:t xml:space="preserve">Co-creation of a patented process adopted by 4 major Canadian packaging firms</w:t>
      </w:r>
    </w:p>
    <w:p>
      <w:pPr>
        <w:numPr>
          <w:ilvl w:val="0"/>
          <w:numId w:val="1002"/>
        </w:numPr>
        <w:pStyle w:val="Compact"/>
      </w:pPr>
      <w:r>
        <w:t xml:space="preserve">Direct generation of 18 new jobs within Canada Vancouver's clean tech sector</w:t>
      </w:r>
    </w:p>
    <w:p>
      <w:pPr>
        <w:pStyle w:val="FirstParagraph"/>
      </w:pPr>
      <w:r>
        <w:t xml:space="preserve">This case underscores the Academic Researcher's dual role: as a knowledge creator and a market developer. Dr. Chen’s "sales" performance wasn't measured in units sold, but in economic value generated through research commercialization – a critical metric for our Sales Report.</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three challenges require strategic intervention:</w:t>
      </w:r>
    </w:p>
    <w:p>
      <w:pPr>
        <w:numPr>
          <w:ilvl w:val="0"/>
          <w:numId w:val="1003"/>
        </w:numPr>
        <w:pStyle w:val="Compact"/>
      </w:pPr>
      <w:r>
        <w:rPr>
          <w:bCs/>
          <w:b/>
        </w:rPr>
        <w:t xml:space="preserve">Funding Alignment Gap:</w:t>
      </w:r>
      <w:r>
        <w:t xml:space="preserve"> </w:t>
      </w:r>
      <w:r>
        <w:t xml:space="preserve">68% of Academic Researchers report misalignment between grant requirements and industry market needs. *Recommendation: Develop a Canada Vancouver-specific "Market-Driven Research" toolkit for Academic Researchers, co-created with local industry leaders.</w:t>
      </w:r>
    </w:p>
    <w:p>
      <w:pPr>
        <w:numPr>
          <w:ilvl w:val="0"/>
          <w:numId w:val="1003"/>
        </w:numPr>
        <w:pStyle w:val="Compact"/>
      </w:pPr>
      <w:r>
        <w:rPr>
          <w:bCs/>
          <w:b/>
        </w:rPr>
        <w:t xml:space="preserve">Intellectual Property Navigation:</w:t>
      </w:r>
      <w:r>
        <w:t xml:space="preserve"> </w:t>
      </w:r>
      <w:r>
        <w:t xml:space="preserve">Complex IP processes delay commercialization by 6-9 months. *Recommendation: Implement a centralized UBC/SFU IP Accelerator Hub in downtown Vancouver.</w:t>
      </w:r>
    </w:p>
    <w:bookmarkEnd w:id="24"/>
    <w:bookmarkStart w:id="25" w:name="X75054d140bb738b212d28e4e4e492fbe359b2de"/>
    <w:p>
      <w:pPr>
        <w:pStyle w:val="Heading2"/>
      </w:pPr>
      <w:r>
        <w:t xml:space="preserve">VI. Future Outlook: The Evolving Role of Academic Researcher</w:t>
      </w:r>
    </w:p>
    <w:p>
      <w:pPr>
        <w:pStyle w:val="FirstParagraph"/>
      </w:pPr>
      <w:r>
        <w:t xml:space="preserve">The Sales Report projects that by 2025, Academic Researchers in Canada Vancouver will generate $184M annually in direct economic impact through industry partnerships – a 93% increase from 2021. This growth hinges on positioning the Academic Researcher as a strategic sales catalyst within the regional innovation economy.</w:t>
      </w:r>
    </w:p>
    <w:p>
      <w:pPr>
        <w:pStyle w:val="BodyText"/>
      </w:pPr>
      <w:r>
        <w:t xml:space="preserve">Emerging opportunities include:</w:t>
      </w:r>
    </w:p>
    <w:p>
      <w:pPr>
        <w:numPr>
          <w:ilvl w:val="0"/>
          <w:numId w:val="1004"/>
        </w:numPr>
        <w:pStyle w:val="Compact"/>
      </w:pPr>
      <w:r>
        <w:rPr>
          <w:bCs/>
          <w:b/>
        </w:rPr>
        <w:t xml:space="preserve">Indigenous-Led Innovation:</w:t>
      </w:r>
      <w:r>
        <w:t xml:space="preserve"> </w:t>
      </w:r>
      <w:r>
        <w:t xml:space="preserve">Collaborative ventures with First Nations communities (e.g., Tsleil-Waututh Nation's clean energy projects) represent a $28M market opportunity for Academic Researchers in Canada Vancouver.</w:t>
      </w:r>
    </w:p>
    <w:p>
      <w:pPr>
        <w:numPr>
          <w:ilvl w:val="0"/>
          <w:numId w:val="1004"/>
        </w:numPr>
        <w:pStyle w:val="Compact"/>
      </w:pPr>
      <w:r>
        <w:rPr>
          <w:bCs/>
          <w:b/>
        </w:rPr>
        <w:t xml:space="preserve">Climate Tech Export Market:</w:t>
      </w:r>
      <w:r>
        <w:t xml:space="preserve"> </w:t>
      </w:r>
      <w:r>
        <w:t xml:space="preserve">Vancouver-based Academic Researchers are uniquely positioned to "sell" climate solutions across Asia-Pacific markets, with 73% of current partnerships targeting international expansion.</w:t>
      </w:r>
    </w:p>
    <w:bookmarkEnd w:id="25"/>
    <w:bookmarkStart w:id="26" w:name="vii.-conclusion"/>
    <w:p>
      <w:pPr>
        <w:pStyle w:val="Heading2"/>
      </w:pPr>
      <w:r>
        <w:t xml:space="preserve">VII. Conclusion</w:t>
      </w:r>
    </w:p>
    <w:p>
      <w:pPr>
        <w:pStyle w:val="FirstParagraph"/>
      </w:pPr>
      <w:r>
        <w:t xml:space="preserve">This Sales Report affirms that Academic Researchers in Canada Vancouver are not merely scientists but critical commercialization engines. Their "sales" performance – measured through partnership volume, grant acquisition, and patent generation – directly fuels regional economic resilience and aligns with Canada's innovation strategy. As the landscape evolves, continued investment in Academic Researcher development as strategic sales professionals will solidify Canada Vancouver's position as a global leader in knowledge-driven economic growth.</w:t>
      </w:r>
    </w:p>
    <w:p>
      <w:pPr>
        <w:pStyle w:val="BodyText"/>
      </w:pPr>
      <w:r>
        <w:rPr>
          <w:iCs/>
          <w:i/>
        </w:rPr>
        <w:t xml:space="preserve">Prepared with data from UBC Innovation Hub (2023), BC Ministry of Jobs, Economic Growth &amp; Open Government (Q3 2023), and Vancouver Tech Industry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Canada Vancouver Market Analysis</dc:title>
  <dc:creator/>
  <dc:language>en</dc:language>
  <cp:keywords/>
  <dcterms:created xsi:type="dcterms:W3CDTF">2026-07-21T02:58:45Z</dcterms:created>
  <dcterms:modified xsi:type="dcterms:W3CDTF">2026-07-21T02:58:45Z</dcterms:modified>
</cp:coreProperties>
</file>

<file path=docProps/custom.xml><?xml version="1.0" encoding="utf-8"?>
<Properties xmlns="http://schemas.openxmlformats.org/officeDocument/2006/custom-properties" xmlns:vt="http://schemas.openxmlformats.org/officeDocument/2006/docPropsVTypes"/>
</file>