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p>
    <w:bookmarkStart w:id="30" w:name="Xfeda366371b1808672818f3ecb5a46e4efb335c"/>
    <w:p>
      <w:pPr>
        <w:pStyle w:val="Heading1"/>
      </w:pPr>
      <w:r>
        <w:t xml:space="preserve">Sales Report: Academic Researcher Engagement in China Beijing Market</w:t>
      </w:r>
    </w:p>
    <w:bookmarkStart w:id="20" w:name="executive-summary"/>
    <w:p>
      <w:pPr>
        <w:pStyle w:val="Heading2"/>
      </w:pPr>
      <w:r>
        <w:t xml:space="preserve">Executive Summary</w:t>
      </w:r>
    </w:p>
    <w:p>
      <w:pPr>
        <w:pStyle w:val="FirstParagraph"/>
      </w:pPr>
      <w:r>
        <w:t xml:space="preserve">This comprehensive Sales Report details the strategic performance of our Academic Researcher initiative within the dynamic research ecosystem of China Beijing. As a leading provider of advanced academic solutions, we have deployed specialized academic researchers to drive market penetration, foster institutional partnerships, and deliver data-driven value in Beijing's thriving education and innovation landscape. The report demonstrates how our unique approach—leveraging the expertise of academic researchers as sales catalysts—has generated significant growth in the China Beijing market during Q3 2023.</w:t>
      </w:r>
    </w:p>
    <w:bookmarkEnd w:id="20"/>
    <w:bookmarkStart w:id="21" w:name="X04b9fa3022f2cdd310e4fcdcf844e8427927ec5"/>
    <w:p>
      <w:pPr>
        <w:pStyle w:val="Heading2"/>
      </w:pPr>
      <w:r>
        <w:t xml:space="preserve">Market Context: Beijing's Academic Research Landscape</w:t>
      </w:r>
    </w:p>
    <w:p>
      <w:pPr>
        <w:pStyle w:val="FirstParagraph"/>
      </w:pPr>
      <w:r>
        <w:t xml:space="preserve">Beijing, as China's premier academic capital, hosts over 100 higher education institutions and 45 national research centers. The city accounts for 35% of China's total R&amp;D expenditure and is home to the Chinese Academy of Sciences (CAS) and Tsinghua University—the world's #2 university in engineering innovation. This environment creates exceptional demand for specialized academic research tools, collaborative platforms, and data analytics services.</w:t>
      </w:r>
    </w:p>
    <w:p>
      <w:pPr>
        <w:pStyle w:val="BodyText"/>
      </w:pPr>
      <w:r>
        <w:t xml:space="preserve">Our Sales Report confirms that academic researchers operating in China Beijing possess a distinct competitive advantage: their deep institutional credibility enables seamless engagement with university administrators, grant committees, and research directors who prioritize peer-endorsed solutions. Unlike traditional sales teams, our academic researchers leverage verified expertise to navigate Beijing's complex procurement protocols for educational technology.</w:t>
      </w:r>
    </w:p>
    <w:bookmarkEnd w:id="21"/>
    <w:bookmarkStart w:id="22" w:name="X24fc156cceea5616c3e15c38d581f15f99ecb56"/>
    <w:p>
      <w:pPr>
        <w:pStyle w:val="Heading2"/>
      </w:pPr>
      <w:r>
        <w:t xml:space="preserve">Sales Performance Highlights (China Beijing Focus)</w:t>
      </w:r>
    </w:p>
    <w:p>
      <w:pPr>
        <w:pStyle w:val="FirstParagraph"/>
      </w:pPr>
      <w:r>
        <w:t xml:space="preserve">Q3 2023 sales data from China Beijing demonstrates exceptional results driven by our Academic Researcher deployment model:</w:t>
      </w:r>
    </w:p>
    <w:p>
      <w:pPr>
        <w:numPr>
          <w:ilvl w:val="0"/>
          <w:numId w:val="1001"/>
        </w:numPr>
        <w:pStyle w:val="Compact"/>
      </w:pPr>
      <w:r>
        <w:rPr>
          <w:bCs/>
          <w:b/>
        </w:rPr>
        <w:t xml:space="preserve">147% YoY Growth</w:t>
      </w:r>
      <w:r>
        <w:t xml:space="preserve">: Achieved through academic researcher-led engagements at 85+ institutions including Peking University, Beihang University, and the Beijing Institute of Technology.</w:t>
      </w:r>
    </w:p>
    <w:p>
      <w:pPr>
        <w:numPr>
          <w:ilvl w:val="0"/>
          <w:numId w:val="1001"/>
        </w:numPr>
        <w:pStyle w:val="Compact"/>
      </w:pPr>
      <w:r>
        <w:rPr>
          <w:bCs/>
          <w:b/>
        </w:rPr>
        <w:t xml:space="preserve">Strategic Partnership Expansion</w:t>
      </w:r>
      <w:r>
        <w:t xml:space="preserve">: Secured 12 new institutional contracts with top-tier Beijing universities, representing a 63% increase in high-value accounts.</w:t>
      </w:r>
    </w:p>
    <w:p>
      <w:pPr>
        <w:numPr>
          <w:ilvl w:val="0"/>
          <w:numId w:val="1001"/>
        </w:numPr>
        <w:pStyle w:val="Compact"/>
      </w:pPr>
      <w:r>
        <w:rPr>
          <w:bCs/>
          <w:b/>
        </w:rPr>
        <w:t xml:space="preserve">Client Retention Rate</w:t>
      </w:r>
      <w:r>
        <w:t xml:space="preserve">: 92% (vs. industry average of 74%), attributed to academic researchers' ability to provide customized research methodology support during implementation.</w:t>
      </w:r>
    </w:p>
    <w:p>
      <w:pPr>
        <w:numPr>
          <w:ilvl w:val="0"/>
          <w:numId w:val="1001"/>
        </w:numPr>
        <w:pStyle w:val="Compact"/>
      </w:pPr>
      <w:r>
        <w:rPr>
          <w:bCs/>
          <w:b/>
        </w:rPr>
        <w:t xml:space="preserve">Enterprise Deal Size</w:t>
      </w:r>
      <w:r>
        <w:t xml:space="preserve">: Average contract value reached ¥3.8M (up from ¥2.1M YoY), with academic researchers securing multi-year agreements through technical demonstrations.</w:t>
      </w:r>
    </w:p>
    <w:bookmarkEnd w:id="22"/>
    <w:bookmarkStart w:id="26" w:name="Xc3c6865e3383c3fac9ce415c5ecd1c29ae8aaa8"/>
    <w:p>
      <w:pPr>
        <w:pStyle w:val="Heading2"/>
      </w:pPr>
      <w:r>
        <w:t xml:space="preserve">Key Success Factors: The Academic Researcher Advantage</w:t>
      </w:r>
    </w:p>
    <w:p>
      <w:pPr>
        <w:pStyle w:val="FirstParagraph"/>
      </w:pPr>
      <w:r>
        <w:t xml:space="preserve">Our Sales Report identifies three critical elements where academic researchers transformed sales outcomes in China Beijing:</w:t>
      </w:r>
    </w:p>
    <w:bookmarkStart w:id="23" w:name="trust-based-engagement-model"/>
    <w:p>
      <w:pPr>
        <w:pStyle w:val="Heading3"/>
      </w:pPr>
      <w:r>
        <w:t xml:space="preserve">1. Trust-Based Engagement Model</w:t>
      </w:r>
    </w:p>
    <w:p>
      <w:pPr>
        <w:pStyle w:val="FirstParagraph"/>
      </w:pPr>
      <w:r>
        <w:t xml:space="preserve">In Beijing's academic circles, institutional trust is paramount. Our Academic Researchers—many holding PhDs from Chinese universities and publishing in SCI journals—conduct solution demonstrations using real Beijing research datasets. This approach reduced sales cycles by 42% compared to conventional vendor pitches. For example, at Tsinghua University's School of Computer Science, our academic researcher presented a customized AI research tool validated against the university's own climate modeling data, securing a ¥5.2M contract within 18 days.</w:t>
      </w:r>
    </w:p>
    <w:bookmarkEnd w:id="23"/>
    <w:bookmarkStart w:id="24" w:name="navigating-beijings-academic-ecosystem"/>
    <w:p>
      <w:pPr>
        <w:pStyle w:val="Heading3"/>
      </w:pPr>
      <w:r>
        <w:t xml:space="preserve">2. Navigating Beijing's Academic Ecosystem</w:t>
      </w:r>
    </w:p>
    <w:p>
      <w:pPr>
        <w:pStyle w:val="FirstParagraph"/>
      </w:pPr>
      <w:r>
        <w:t xml:space="preserve">The China Beijing market requires nuanced understanding of:</w:t>
      </w:r>
      <w:r>
        <w:t xml:space="preserve"> </w:t>
      </w:r>
      <w:r>
        <w:t xml:space="preserve">• National R&amp;D funding mechanisms (e.g., "National Key Research and Development Program")</w:t>
      </w:r>
      <w:r>
        <w:t xml:space="preserve"> </w:t>
      </w:r>
      <w:r>
        <w:t xml:space="preserve">• Institutional procurement workflows at universities</w:t>
      </w:r>
      <w:r>
        <w:t xml:space="preserve"> </w:t>
      </w:r>
      <w:r>
        <w:t xml:space="preserve">• Local regulatory frameworks for academic data sharing</w:t>
      </w:r>
    </w:p>
    <w:p>
      <w:pPr>
        <w:pStyle w:val="BodyText"/>
      </w:pPr>
      <w:r>
        <w:t xml:space="preserve">Our Academic Researchers, embedded in Beijing's research community for 2+ years, possess institutional knowledge that enables precise alignment with these systems. This expertise facilitated faster compliance validation across 34 Beijing-based projects compared to external sales teams.</w:t>
      </w:r>
    </w:p>
    <w:bookmarkEnd w:id="24"/>
    <w:bookmarkStart w:id="25" w:name="value-added-research-collaboration"/>
    <w:p>
      <w:pPr>
        <w:pStyle w:val="Heading3"/>
      </w:pPr>
      <w:r>
        <w:t xml:space="preserve">3. Value-Added Research Collaboration</w:t>
      </w:r>
    </w:p>
    <w:p>
      <w:pPr>
        <w:pStyle w:val="FirstParagraph"/>
      </w:pPr>
      <w:r>
        <w:t xml:space="preserve">Unlike traditional sales roles, our Academic Researchers offer immediate research utility through co-development opportunities. In Q3, they initiated 27 joint research projects with Beijing institutions—turning product demos into active collaborations. This "sales-to-research" transition generated 18 repeat purchases and elevated customer lifetime value by 79% in China Beijing.</w:t>
      </w:r>
    </w:p>
    <w:bookmarkEnd w:id="25"/>
    <w:bookmarkEnd w:id="26"/>
    <w:bookmarkStart w:id="27" w:name="challenges-and-strategic-adjustments"/>
    <w:p>
      <w:pPr>
        <w:pStyle w:val="Heading2"/>
      </w:pPr>
      <w:r>
        <w:t xml:space="preserve">Challenges and Strategic Adjustments</w:t>
      </w:r>
    </w:p>
    <w:p>
      <w:pPr>
        <w:pStyle w:val="FirstParagraph"/>
      </w:pPr>
      <w:r>
        <w:t xml:space="preserve">Our Sales Report acknowledges two primary challenges requiring refined strategies for China Beijing:</w:t>
      </w:r>
    </w:p>
    <w:p>
      <w:pPr>
        <w:numPr>
          <w:ilvl w:val="0"/>
          <w:numId w:val="1002"/>
        </w:numPr>
        <w:pStyle w:val="Compact"/>
      </w:pPr>
      <w:r>
        <w:rPr>
          <w:bCs/>
          <w:b/>
        </w:rPr>
        <w:t xml:space="preserve">Cultural Nuance in Decision-Making:</w:t>
      </w:r>
      <w:r>
        <w:t xml:space="preserve"> </w:t>
      </w:r>
      <w:r>
        <w:t xml:space="preserve">Beijing's academic procurement often involves committee approvals where senior researchers influence outcomes. We addressed this by training 100% of our Academic Researchers in Beijing-specific stakeholder mapping and consensus-building techniques.</w:t>
      </w:r>
    </w:p>
    <w:p>
      <w:pPr>
        <w:numPr>
          <w:ilvl w:val="0"/>
          <w:numId w:val="1002"/>
        </w:numPr>
        <w:pStyle w:val="Compact"/>
      </w:pPr>
      <w:r>
        <w:rPr>
          <w:bCs/>
          <w:b/>
        </w:rPr>
        <w:t xml:space="preserve">Competitive Landscape:</w:t>
      </w:r>
      <w:r>
        <w:t xml:space="preserve"> </w:t>
      </w:r>
      <w:r>
        <w:t xml:space="preserve">Local vendors with government connections captured 32% of low-value contracts. Our counter-strategy deployed academic researchers to position solutions as "China-focused" through co-authored whitepapers on Beijing's research priorities (e.g., quantum computing, AI ethics).</w:t>
      </w:r>
    </w:p>
    <w:bookmarkEnd w:id="27"/>
    <w:bookmarkStart w:id="28" w:name="X778eb59cbc725ef71dad1162443cd87569ef9b3"/>
    <w:p>
      <w:pPr>
        <w:pStyle w:val="Heading2"/>
      </w:pPr>
      <w:r>
        <w:t xml:space="preserve">Future Roadmap: Scaling Academic Researcher Impact in China Beijing</w:t>
      </w:r>
    </w:p>
    <w:p>
      <w:pPr>
        <w:pStyle w:val="FirstParagraph"/>
      </w:pPr>
      <w:r>
        <w:t xml:space="preserve">Based on Q3 results, we are implementing three strategic initiatives for the China Beijing market:</w:t>
      </w:r>
    </w:p>
    <w:p>
      <w:pPr>
        <w:numPr>
          <w:ilvl w:val="0"/>
          <w:numId w:val="1003"/>
        </w:numPr>
        <w:pStyle w:val="Compact"/>
      </w:pPr>
      <w:r>
        <w:rPr>
          <w:bCs/>
          <w:b/>
        </w:rPr>
        <w:t xml:space="preserve">Beijing Researcher Network Expansion:</w:t>
      </w:r>
      <w:r>
        <w:t xml:space="preserve"> </w:t>
      </w:r>
      <w:r>
        <w:t xml:space="preserve">Establishing a dedicated academic researcher corps of 40+ PhDs embedded at key Beijing institutions by Q1 2024, with focus on emerging fields like biotechnology and clean energy.</w:t>
      </w:r>
    </w:p>
    <w:p>
      <w:pPr>
        <w:numPr>
          <w:ilvl w:val="0"/>
          <w:numId w:val="1003"/>
        </w:numPr>
        <w:pStyle w:val="Compact"/>
      </w:pPr>
      <w:r>
        <w:rPr>
          <w:bCs/>
          <w:b/>
        </w:rPr>
        <w:t xml:space="preserve">Localized Product Innovation:</w:t>
      </w:r>
      <w:r>
        <w:t xml:space="preserve"> </w:t>
      </w:r>
      <w:r>
        <w:t xml:space="preserve">Developing Beijing-specific modules for our platform (e.g., integration with CAS research databases) co-designed by academic researchers to meet local regulatory requirements.</w:t>
      </w:r>
    </w:p>
    <w:p>
      <w:pPr>
        <w:numPr>
          <w:ilvl w:val="0"/>
          <w:numId w:val="1003"/>
        </w:numPr>
        <w:pStyle w:val="Compact"/>
      </w:pPr>
      <w:r>
        <w:rPr>
          <w:bCs/>
          <w:b/>
        </w:rPr>
        <w:t xml:space="preserve">Sales-Research Integration Framework:</w:t>
      </w:r>
      <w:r>
        <w:t xml:space="preserve"> </w:t>
      </w:r>
      <w:r>
        <w:t xml:space="preserve">Creating a unified KPI dashboard tracking both sales metrics and research impact (e.g., co-authored publications, grant applications supported), directly linking academic researcher performance to revenue outcomes in China Beijing.</w:t>
      </w:r>
    </w:p>
    <w:bookmarkEnd w:id="28"/>
    <w:bookmarkStart w:id="29" w:name="conclusion"/>
    <w:p>
      <w:pPr>
        <w:pStyle w:val="Heading2"/>
      </w:pPr>
      <w:r>
        <w:t xml:space="preserve">Conclusion</w:t>
      </w:r>
    </w:p>
    <w:p>
      <w:pPr>
        <w:pStyle w:val="FirstParagraph"/>
      </w:pPr>
      <w:r>
        <w:t xml:space="preserve">This Sales Report unequivocally demonstrates that Academic Researchers are not merely sales representatives but strategic growth engines in the China Beijing market. Their dual expertise in advanced research methodology and commercial acumen has positioned our company as a trusted partner within Beijing's academic ecosystem. With 93% of surveyed Beijing institutions requesting academic researcher engagement for future procurement, we project 200% revenue growth from this segment by Q4 2024.</w:t>
      </w:r>
    </w:p>
    <w:p>
      <w:pPr>
        <w:pStyle w:val="BodyText"/>
      </w:pPr>
      <w:r>
        <w:t xml:space="preserve">As China accelerates its "Double First-Class" university initiative and Beijing solidifies its global research leadership, the Academic Researcher model will remain central to our market dominance. Our commitment to embedding scholarly excellence within sales operations ensures sustainable, credible growth in this critical Chinese market—proving that when academic rigor meets commercial strategy, extraordinary results follow.</w:t>
      </w:r>
    </w:p>
    <w:p>
      <w:pPr>
        <w:pStyle w:val="BodyText"/>
      </w:pPr>
      <w:r>
        <w:rPr>
          <w:iCs/>
          <w:i/>
        </w:rPr>
        <w:t xml:space="preserve">Prepared for China Beijing Regional Leadership | Q3 2023 Sales Performance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China Beijing Market</dc:title>
  <dc:creator/>
  <dc:language>en</dc:language>
  <cp:keywords/>
  <dcterms:created xsi:type="dcterms:W3CDTF">2026-07-23T15:17:43Z</dcterms:created>
  <dcterms:modified xsi:type="dcterms:W3CDTF">2026-07-23T15:17:43Z</dcterms:modified>
</cp:coreProperties>
</file>

<file path=docProps/custom.xml><?xml version="1.0" encoding="utf-8"?>
<Properties xmlns="http://schemas.openxmlformats.org/officeDocument/2006/custom-properties" xmlns:vt="http://schemas.openxmlformats.org/officeDocument/2006/docPropsVTypes"/>
</file>