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Solutions</w:t>
      </w:r>
      <w:r>
        <w:t xml:space="preserve"> </w:t>
      </w:r>
      <w:r>
        <w:t xml:space="preserve">in</w:t>
      </w:r>
      <w:r>
        <w:t xml:space="preserve"> </w:t>
      </w:r>
      <w:r>
        <w:t xml:space="preserve">China</w:t>
      </w:r>
      <w:r>
        <w:t xml:space="preserve"> </w:t>
      </w:r>
      <w:r>
        <w:t xml:space="preserve">Guangzhou</w:t>
      </w:r>
    </w:p>
    <w:bookmarkStart w:id="31" w:name="X25e7913ec9dd3215d895926ac9afc4c885eb344"/>
    <w:p>
      <w:pPr>
        <w:pStyle w:val="Heading1"/>
      </w:pPr>
      <w:r>
        <w:t xml:space="preserve">Sales Report: Strategic Market Expansion for Academic Researcher Solutions in China Guangzhou</w:t>
      </w:r>
    </w:p>
    <w:bookmarkStart w:id="20" w:name="executive-summary"/>
    <w:p>
      <w:pPr>
        <w:pStyle w:val="Heading2"/>
      </w:pPr>
      <w:r>
        <w:t xml:space="preserve">Executive Summary</w:t>
      </w:r>
    </w:p>
    <w:p>
      <w:pPr>
        <w:pStyle w:val="FirstParagraph"/>
      </w:pPr>
      <w:r>
        <w:t xml:space="preserve">This comprehensive Sales Report details the strategic performance of our academic research tools and services targeting researchers across Guangzhou, China. As the premier technology provider for scholarly advancement in Southern China, we've achieved a 37% YoY growth in sales to Academic Researchers within Guangzhou's dynamic university ecosystem. This report confirms Guangzhou as a pivotal growth hub for research innovation, with our solutions directly supporting the region's ambition to become Asia's next major academic powerhouse.</w:t>
      </w:r>
    </w:p>
    <w:bookmarkEnd w:id="20"/>
    <w:bookmarkStart w:id="21" w:name="X07c76335b3fd1f182c1867190bd5b4dfd9c905f"/>
    <w:p>
      <w:pPr>
        <w:pStyle w:val="Heading2"/>
      </w:pPr>
      <w:r>
        <w:t xml:space="preserve">Market Context: Guangzhou's Research Landscape</w:t>
      </w:r>
    </w:p>
    <w:p>
      <w:pPr>
        <w:pStyle w:val="FirstParagraph"/>
      </w:pPr>
      <w:r>
        <w:t xml:space="preserve">Guangzhou has emerged as China's third-largest research hub after Beijing and Shanghai, home to 15 nationally ranked universities including Sun Yat-sen University and South China University of Technology. The Guangdong Provincial Government's "Double First-Class" initiative has allocated $3.8 billion USD for research infrastructure in Guangzhou alone, creating unprecedented demand for specialized academic tools. This environment presents a unique opportunity for vendors offering solutions tailored to Academic Researchers navigating complex data landscapes.</w:t>
      </w:r>
    </w:p>
    <w:bookmarkEnd w:id="21"/>
    <w:bookmarkStart w:id="23" w:name="sales-performance-highlights-q1-q3-2023"/>
    <w:p>
      <w:pPr>
        <w:pStyle w:val="Heading2"/>
      </w:pPr>
      <w:r>
        <w:t xml:space="preserve">Sales Performance Highlights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Guangzhou Sales Volume</w:t>
            </w:r>
          </w:p>
        </w:tc>
        <w:tc>
          <w:tcPr/>
          <w:p>
            <w:pPr>
              <w:pStyle w:val="Compact"/>
              <w:jc w:val="left"/>
            </w:pPr>
            <w:r>
              <w:t xml:space="preserve">YTD Growth vs 2022</w:t>
            </w:r>
          </w:p>
        </w:tc>
        <w:tc>
          <w:tcPr/>
          <w:p>
            <w:pPr>
              <w:pStyle w:val="Compact"/>
              <w:jc w:val="left"/>
            </w:pPr>
            <w:r>
              <w:t xml:space="preserve">Key University Partnerships</w:t>
            </w:r>
          </w:p>
        </w:tc>
      </w:tr>
      <w:tr>
        <w:tc>
          <w:tcPr/>
          <w:p>
            <w:pPr>
              <w:pStyle w:val="Compact"/>
              <w:jc w:val="left"/>
            </w:pPr>
            <w:r>
              <w:t xml:space="preserve">Data Analysis Platform (Cloud)</w:t>
            </w:r>
          </w:p>
        </w:tc>
        <w:tc>
          <w:tcPr/>
          <w:p>
            <w:pPr>
              <w:pStyle w:val="Compact"/>
              <w:jc w:val="left"/>
            </w:pPr>
            <w:r>
              <w:t xml:space="preserve">187 licenses</w:t>
            </w:r>
          </w:p>
        </w:tc>
        <w:tc>
          <w:tcPr/>
          <w:p>
            <w:pPr>
              <w:pStyle w:val="Compact"/>
              <w:jc w:val="left"/>
            </w:pPr>
            <w:r>
              <w:t xml:space="preserve">+42%</w:t>
            </w:r>
          </w:p>
        </w:tc>
        <w:tc>
          <w:tcPr/>
          <w:p>
            <w:pPr>
              <w:pStyle w:val="Compact"/>
              <w:jc w:val="left"/>
            </w:pPr>
            <w:r>
              <w:t xml:space="preserve">Sun Yat-sen, SCUT, Guangzhou Medical University</w:t>
            </w:r>
          </w:p>
        </w:tc>
      </w:tr>
      <w:tr>
        <w:tc>
          <w:tcPr/>
          <w:p>
            <w:pPr>
              <w:pStyle w:val="Compact"/>
              <w:jc w:val="left"/>
            </w:pPr>
            <w:r>
              <w:t xml:space="preserve">Citation Management Suite</w:t>
            </w:r>
          </w:p>
        </w:tc>
        <w:tc>
          <w:tcPr/>
          <w:p>
            <w:pPr>
              <w:pStyle w:val="Compact"/>
              <w:jc w:val="left"/>
            </w:pPr>
            <w:r>
              <w:t xml:space="preserve">312 seats</w:t>
            </w:r>
          </w:p>
        </w:tc>
        <w:tc>
          <w:tcPr/>
          <w:p>
            <w:pPr>
              <w:pStyle w:val="Compact"/>
              <w:jc w:val="left"/>
            </w:pPr>
            <w:r>
              <w:t xml:space="preserve">+34%</w:t>
            </w:r>
          </w:p>
        </w:tc>
        <w:tc>
          <w:tcPr/>
          <w:p>
            <w:pPr>
              <w:pStyle w:val="Compact"/>
              <w:jc w:val="left"/>
            </w:pPr>
            <w:r>
              <w:t xml:space="preserve">Wuhan University (Guangzhou Campus), Jinan University</w:t>
            </w:r>
          </w:p>
        </w:tc>
      </w:tr>
      <w:tr>
        <w:tc>
          <w:tcPr/>
          <w:p>
            <w:pPr>
              <w:pStyle w:val="Compact"/>
              <w:jc w:val="left"/>
            </w:pPr>
            <w:r>
              <w:t xml:space="preserve">AI-Powered Literature Review Tool</w:t>
            </w:r>
          </w:p>
        </w:tc>
        <w:tc>
          <w:tcPr/>
          <w:p>
            <w:pPr>
              <w:pStyle w:val="Compact"/>
              <w:jc w:val="left"/>
            </w:pPr>
            <w:r>
              <w:t xml:space="preserve">98 subscriptions</w:t>
            </w:r>
          </w:p>
        </w:tc>
        <w:tc>
          <w:tcPr/>
          <w:p>
            <w:pPr>
              <w:pStyle w:val="Compact"/>
              <w:jc w:val="left"/>
            </w:pPr>
            <w:r>
              <w:t xml:space="preserve">+58%</w:t>
            </w:r>
          </w:p>
        </w:tc>
        <w:tc>
          <w:tcPr/>
          <w:p>
            <w:pPr>
              <w:pStyle w:val="Compact"/>
              <w:jc w:val="left"/>
            </w:pPr>
            <w:r>
              <w:t xml:space="preserve">Zhongshan Hospital Research Center, Guangdong Academy of Sciences</w:t>
            </w:r>
          </w:p>
        </w:tc>
      </w:tr>
      <w:tr>
        <w:tc>
          <w:tcPr/>
          <w:p>
            <w:pPr>
              <w:pStyle w:val="Compact"/>
              <w:jc w:val="left"/>
            </w:pPr>
            <w:r>
              <w:t xml:space="preserve">Research Collaboration Platform</w:t>
            </w:r>
          </w:p>
        </w:tc>
        <w:tc>
          <w:tcPr/>
          <w:p>
            <w:pPr>
              <w:pStyle w:val="Compact"/>
              <w:jc w:val="left"/>
            </w:pPr>
            <w:r>
              <w:t xml:space="preserve">47 institutional licenses</w:t>
            </w:r>
          </w:p>
        </w:tc>
        <w:tc>
          <w:tcPr/>
          <w:p>
            <w:pPr>
              <w:pStyle w:val="Compact"/>
              <w:jc w:val="left"/>
            </w:pPr>
            <w:r>
              <w:t xml:space="preserve">+29%</w:t>
            </w:r>
          </w:p>
        </w:tc>
        <w:tc>
          <w:tcPr/>
          <w:p>
            <w:pPr>
              <w:pStyle w:val="Compact"/>
              <w:jc w:val="left"/>
            </w:pPr>
            <w:r>
              <w:t xml:space="preserve">All 12 major universities in Guangzhou Metro Area</w:t>
            </w:r>
          </w:p>
        </w:tc>
      </w:tr>
    </w:tbl>
    <w:bookmarkStart w:id="22" w:name="key-sales-insight"/>
    <w:p>
      <w:pPr>
        <w:pStyle w:val="Heading3"/>
      </w:pPr>
      <w:r>
        <w:t xml:space="preserve">Key Sales Insight:</w:t>
      </w:r>
    </w:p>
    <w:p>
      <w:pPr>
        <w:pStyle w:val="FirstParagraph"/>
      </w:pPr>
      <w:r>
        <w:t xml:space="preserve">The 58% surge in AI Literature Review Tool sales directly correlates with Guangzhou's new "Digital Humanities Initiative" launched by the Guangdong Provincial Department of Education. Academic Researchers at Sun Yat-sen University reported that our solution reduced literature review time by 63%, accelerating grant submissions – a critical need for researchers competing for national funding.</w:t>
      </w:r>
    </w:p>
    <w:bookmarkEnd w:id="22"/>
    <w:bookmarkEnd w:id="23"/>
    <w:bookmarkStart w:id="24" w:name="X5f7183e2aa4f58b2b585de1dab7adc183432bf4"/>
    <w:p>
      <w:pPr>
        <w:pStyle w:val="Heading2"/>
      </w:pPr>
      <w:r>
        <w:t xml:space="preserve">Customer Success Story: Professor Li Wei, Sun Yat-sen University</w:t>
      </w:r>
    </w:p>
    <w:p>
      <w:pPr>
        <w:pStyle w:val="BlockText"/>
      </w:pPr>
      <w:r>
        <w:t xml:space="preserve">"As an Academic Researcher in Guangzhou's biomedical field, I managed 3 research teams with limited data infrastructure. Our adoption of the Data Analysis Platform cut statistical processing from 14 days to 5 hours per project. The local Guangzhou support team provided Mandarin-speaking technical assistance within 2 business hours – something our previous Western vendors couldn't deliver. This isn't just software; it's transforming how Guangzhou researchers compete globally."</w:t>
      </w:r>
    </w:p>
    <w:p>
      <w:pPr>
        <w:pStyle w:val="BlockText"/>
      </w:pPr>
      <w:r>
        <w:rPr>
          <w:bCs/>
          <w:b/>
        </w:rPr>
        <w:t xml:space="preserve">Professor Li Wei</w:t>
      </w:r>
      <w:r>
        <w:t xml:space="preserve">, Department of Biomedical Engineering, Sun Yat-sen University</w:t>
      </w:r>
    </w:p>
    <w:bookmarkEnd w:id="24"/>
    <w:bookmarkStart w:id="25" w:name="Xbe7684312153d9766965f69d71f7d1f7abd932c"/>
    <w:p>
      <w:pPr>
        <w:pStyle w:val="Heading2"/>
      </w:pPr>
      <w:r>
        <w:t xml:space="preserve">Guangzhou-Specific Market Dynamics Driving Sales</w:t>
      </w:r>
    </w:p>
    <w:p>
      <w:pPr>
        <w:numPr>
          <w:ilvl w:val="0"/>
          <w:numId w:val="1001"/>
        </w:numPr>
        <w:pStyle w:val="Compact"/>
      </w:pPr>
      <w:r>
        <w:rPr>
          <w:bCs/>
          <w:b/>
        </w:rPr>
        <w:t xml:space="preserve">Cultural Alignment:</w:t>
      </w:r>
      <w:r>
        <w:t xml:space="preserve"> </w:t>
      </w:r>
      <w:r>
        <w:t xml:space="preserve">Our Guangzhou sales team (70% locally hired Mandarin speakers with PhDs in academic fields) has achieved 94% customer satisfaction by understanding regional research priorities like "Pearl River Delta Environmental Studies" and "Smart City Urban Development."</w:t>
      </w:r>
    </w:p>
    <w:p>
      <w:pPr>
        <w:numPr>
          <w:ilvl w:val="0"/>
          <w:numId w:val="1001"/>
        </w:numPr>
        <w:pStyle w:val="Compact"/>
      </w:pPr>
      <w:r>
        <w:rPr>
          <w:bCs/>
          <w:b/>
        </w:rPr>
        <w:t xml:space="preserve">Government Synergy:</w:t>
      </w:r>
      <w:r>
        <w:t xml:space="preserve"> </w:t>
      </w:r>
      <w:r>
        <w:t xml:space="preserve">Partnership with Guangzhou Science &amp; Technology Bureau for the "Research Tech Innovation Fund" has led to 23 institutional contracts covering 8,500 researchers at no cost to universities.</w:t>
      </w:r>
    </w:p>
    <w:p>
      <w:pPr>
        <w:numPr>
          <w:ilvl w:val="0"/>
          <w:numId w:val="1001"/>
        </w:numPr>
        <w:pStyle w:val="Compact"/>
      </w:pPr>
      <w:r>
        <w:rPr>
          <w:bCs/>
          <w:b/>
        </w:rPr>
        <w:t xml:space="preserve">Local Events Strategy:</w:t>
      </w:r>
      <w:r>
        <w:t xml:space="preserve"> </w:t>
      </w:r>
      <w:r>
        <w:t xml:space="preserve">Hosting quarterly "Academic Researcher Roundtables" at Canton Fair Convention Center (Guangzhou) generated 173 qualified leads in Q2 alone – a 215% increase over comparable Shanghai events.</w:t>
      </w:r>
    </w:p>
    <w:bookmarkEnd w:id="25"/>
    <w:bookmarkStart w:id="26" w:name="sales-challenges-strategic-response"/>
    <w:p>
      <w:pPr>
        <w:pStyle w:val="Heading2"/>
      </w:pPr>
      <w:r>
        <w:t xml:space="preserve">Sales Challenges &amp; Strategic Response</w:t>
      </w:r>
    </w:p>
    <w:p>
      <w:pPr>
        <w:pStyle w:val="FirstParagraph"/>
      </w:pPr>
      <w:r>
        <w:t xml:space="preserve">Initial challenges included adapting to Guangzhou's unique research workflows, particularly in fields like Traditional Chinese Medicine (TCM) where data standardization differs from Western models. Our solution: We developed a TCM-specific module co-created with Guangzhou University of Traditional Chinese Medicine, now driving 31% of our healthcare research sales.</w:t>
      </w:r>
    </w:p>
    <w:bookmarkEnd w:id="26"/>
    <w:bookmarkStart w:id="27" w:name="X25a18c480132fdcfc223c3b43660f7ca65c0320"/>
    <w:p>
      <w:pPr>
        <w:pStyle w:val="Heading2"/>
      </w:pPr>
      <w:r>
        <w:t xml:space="preserve">Future Sales Strategy for Guangzhou Academic Market</w:t>
      </w:r>
    </w:p>
    <w:p>
      <w:pPr>
        <w:pStyle w:val="FirstParagraph"/>
      </w:pPr>
      <w:r>
        <w:t xml:space="preserve">Building on Q3 success, we're implementing:</w:t>
      </w:r>
    </w:p>
    <w:p>
      <w:pPr>
        <w:numPr>
          <w:ilvl w:val="0"/>
          <w:numId w:val="1002"/>
        </w:numPr>
        <w:pStyle w:val="Compact"/>
      </w:pPr>
      <w:r>
        <w:rPr>
          <w:bCs/>
          <w:b/>
        </w:rPr>
        <w:t xml:space="preserve">"Guangzhou Researcher Accelerator Program"</w:t>
      </w:r>
      <w:r>
        <w:t xml:space="preserve">: Free 4-month trials for new faculty at all major universities (target: 500+ Academic Researchers)</w:t>
      </w:r>
    </w:p>
    <w:p>
      <w:pPr>
        <w:numPr>
          <w:ilvl w:val="0"/>
          <w:numId w:val="1002"/>
        </w:numPr>
        <w:pStyle w:val="Compact"/>
      </w:pPr>
      <w:r>
        <w:rPr>
          <w:bCs/>
          <w:b/>
        </w:rPr>
        <w:t xml:space="preserve">Local R&amp;D Partnership</w:t>
      </w:r>
      <w:r>
        <w:t xml:space="preserve">: Co-developing solutions with Guangzhou's National Supercomputing Center for climate modeling applications</w:t>
      </w:r>
    </w:p>
    <w:p>
      <w:pPr>
        <w:numPr>
          <w:ilvl w:val="0"/>
          <w:numId w:val="1002"/>
        </w:numPr>
        <w:pStyle w:val="Compact"/>
      </w:pPr>
      <w:r>
        <w:rPr>
          <w:bCs/>
          <w:b/>
        </w:rPr>
        <w:t xml:space="preserve">Guangzhou Researcher Network</w:t>
      </w:r>
      <w:r>
        <w:t xml:space="preserve">: Creating a regional user community (1,200+ members) for peer knowledge sharing on local research challenges</w:t>
      </w:r>
    </w:p>
    <w:bookmarkEnd w:id="27"/>
    <w:bookmarkStart w:id="28" w:name="financial-impact-regional-significance"/>
    <w:p>
      <w:pPr>
        <w:pStyle w:val="Heading2"/>
      </w:pPr>
      <w:r>
        <w:t xml:space="preserve">Financial Impact &amp; Regional Significance</w:t>
      </w:r>
    </w:p>
    <w:p>
      <w:pPr>
        <w:pStyle w:val="FirstParagraph"/>
      </w:pPr>
      <w:r>
        <w:t xml:space="preserve">Sales to Academic Researchers in Guangzhou now represent 38% of our total China revenue – up from 19% in 2020. This growth positions us as the leading vendor for scholarly tools across Southern China, directly supporting Guangzhou's goal to attract 50,000 international researchers by 2035. The city's new $1.2 billion "Research Hub Development Zone" (in Panyu District) will further amplify our market opportunity.</w:t>
      </w:r>
    </w:p>
    <w:bookmarkEnd w:id="28"/>
    <w:bookmarkStart w:id="30" w:name="conclusion"/>
    <w:p>
      <w:pPr>
        <w:pStyle w:val="Heading2"/>
      </w:pPr>
      <w:r>
        <w:t xml:space="preserve">Conclusion</w:t>
      </w:r>
    </w:p>
    <w:p>
      <w:pPr>
        <w:pStyle w:val="FirstParagraph"/>
      </w:pPr>
      <w:r>
        <w:t xml:space="preserve">This Sales Report confirms Guangzhou has become the most strategic metropolitan market for Academic Researcher solutions in China. The convergence of government investment, world-class universities, and locally tailored product execution has created a virtuous cycle where research productivity directly fuels our sales growth. We project 45% YoY expansion in Guangzhou's academic researcher segment through 2024 – making it our single largest growth engine globally.</w:t>
      </w:r>
    </w:p>
    <w:p>
      <w:pPr>
        <w:pStyle w:val="BodyText"/>
      </w:pPr>
      <w:r>
        <w:t xml:space="preserve">As we continue to innovate for the specific needs of Academic Researchers across China Guangzhou, this market exemplifies how localized understanding drives global scalability. The success here is not merely a sales achievement; it's a catalyst for advancing Guangzhou's ambition as Asia's next academic innovation capital. We recommend doubling our local R&amp;D investment in Guangzhou to maintain this momentum.</w:t>
      </w:r>
    </w:p>
    <w:bookmarkStart w:id="29" w:name="prepared-by"/>
    <w:p>
      <w:pPr>
        <w:pStyle w:val="Heading3"/>
      </w:pPr>
      <w:r>
        <w:t xml:space="preserve">Prepared By:</w:t>
      </w:r>
    </w:p>
    <w:p>
      <w:pPr>
        <w:pStyle w:val="FirstParagraph"/>
      </w:pPr>
      <w:r>
        <w:t xml:space="preserve">Sales Intelligence Division | Southern China Operations</w:t>
      </w:r>
      <w:r>
        <w:br/>
      </w:r>
      <w:r>
        <w:t xml:space="preserve">China Guangzhou, People's Republic of China</w:t>
      </w:r>
      <w:r>
        <w:br/>
      </w:r>
      <w:r>
        <w:t xml:space="preserve">Date: October 26, 2023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Solutions in China Guangzhou</dc:title>
  <dc:creator/>
  <dc:language>en</dc:language>
  <cp:keywords/>
  <dcterms:created xsi:type="dcterms:W3CDTF">2025-12-16T08:32:08Z</dcterms:created>
  <dcterms:modified xsi:type="dcterms:W3CDTF">2025-12-16T08:32:08Z</dcterms:modified>
</cp:coreProperties>
</file>

<file path=docProps/custom.xml><?xml version="1.0" encoding="utf-8"?>
<Properties xmlns="http://schemas.openxmlformats.org/officeDocument/2006/custom-properties" xmlns:vt="http://schemas.openxmlformats.org/officeDocument/2006/docPropsVTypes"/>
</file>