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Performance</w:t>
      </w:r>
    </w:p>
    <w:bookmarkStart w:id="27" w:name="X03b8c1fb9d7587f03a56ff889e6402555448bc2"/>
    <w:p>
      <w:pPr>
        <w:pStyle w:val="Heading1"/>
      </w:pPr>
      <w:r>
        <w:t xml:space="preserve">Annual Sales Report: Academic Researcher Performance in China Shanghai (2023-2024)</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strategic performance of our dedicated Academic Researcher team within the dynamic research ecosystem of China Shanghai. Serving as a critical bridge between cutting-edge academic innovation and commercial application, this report demonstrates how our Academic Researcher role has driven measurable growth across Shanghai's premium academic and industrial sectors. In 2023, we achieved a 37% year-over-year increase in revenue directly attributable to Academic Researcher initiatives, solidifying our position as a pivotal player in China's research commercialization landscape. This report underscores the unique value proposition of the Academic Researcher within Shanghai's rapidly evolving innovation economy.</w:t>
      </w:r>
    </w:p>
    <w:bookmarkEnd w:id="20"/>
    <w:bookmarkStart w:id="21" w:name="X4f50d7d0a90a7c404f5190dc5eb7e4ed815beac"/>
    <w:p>
      <w:pPr>
        <w:pStyle w:val="Heading2"/>
      </w:pPr>
      <w:r>
        <w:t xml:space="preserve">Market Context: Shanghai as Asia's Academic Innovation Hub</w:t>
      </w:r>
    </w:p>
    <w:p>
      <w:pPr>
        <w:pStyle w:val="FirstParagraph"/>
      </w:pPr>
      <w:r>
        <w:t xml:space="preserve">China Shanghai has emerged as the undisputed epicenter of academic and industrial R&amp;D in East Asia, hosting 18 leading universities (including Fudan and Tongji), 35 national research institutes, and over 200 multinational R&amp;D centers. As our</w:t>
      </w:r>
      <w:r>
        <w:t xml:space="preserve"> </w:t>
      </w:r>
      <w:r>
        <w:rPr>
          <w:bCs/>
          <w:b/>
        </w:rPr>
        <w:t xml:space="preserve">Academic Researcher</w:t>
      </w:r>
      <w:r>
        <w:t xml:space="preserve"> </w:t>
      </w:r>
      <w:r>
        <w:t xml:space="preserve">team operates from Shanghai's Zhangjiang Hi-Tech Park—the "Silicon Valley of China"—we are uniquely positioned at the intersection of academia and commerce. This strategic location provides unparalleled access to: (1) Government-funded research consortia, (2) Industry-academia partnership opportunities, and (3) The world's largest pool of STEM talent. The 2023 Shanghai Science &amp; Technology Innovation Report confirms that academic commercialization represents a $47 billion market opportunity growing at 18% annually—directly aligning with our Academic Researcher sales strategy.</w:t>
      </w:r>
    </w:p>
    <w:bookmarkEnd w:id="21"/>
    <w:bookmarkStart w:id="22" w:name="X4d501cec95ab3e646dd8ce7867628dfc5d3671d"/>
    <w:p>
      <w:pPr>
        <w:pStyle w:val="Heading2"/>
      </w:pPr>
      <w:r>
        <w:t xml:space="preserve">Sales Performance Analysis (Shanghai Focus)</w:t>
      </w:r>
    </w:p>
    <w:p>
      <w:pPr>
        <w:pStyle w:val="FirstParagraph"/>
      </w:pPr>
      <w:r>
        <w:t xml:space="preserve">Our Academic Researcher team generated $12.8M in new contracts during FY2023, representing 63% of total company revenue from China Shanghai operations. Key metrics include:</w:t>
      </w:r>
    </w:p>
    <w:p>
      <w:pPr>
        <w:numPr>
          <w:ilvl w:val="0"/>
          <w:numId w:val="1001"/>
        </w:numPr>
        <w:pStyle w:val="Compact"/>
      </w:pPr>
      <w:r>
        <w:rPr>
          <w:bCs/>
          <w:b/>
        </w:rPr>
        <w:t xml:space="preserve">University Partnerships:</w:t>
      </w:r>
      <w:r>
        <w:t xml:space="preserve"> </w:t>
      </w:r>
      <w:r>
        <w:t xml:space="preserve">Secured 17 major contracts with Shanghai institutions (including Fudan University's $2.4M AI-driven drug discovery project)</w:t>
      </w:r>
    </w:p>
    <w:p>
      <w:pPr>
        <w:numPr>
          <w:ilvl w:val="0"/>
          <w:numId w:val="1001"/>
        </w:numPr>
        <w:pStyle w:val="Compact"/>
      </w:pPr>
      <w:r>
        <w:rPr>
          <w:bCs/>
          <w:b/>
        </w:rPr>
        <w:t xml:space="preserve">Corporate Engagement:</w:t>
      </w:r>
      <w:r>
        <w:t xml:space="preserve"> </w:t>
      </w:r>
      <w:r>
        <w:t xml:space="preserve">Closed 28 enterprise deals with Shanghai-headquartered tech firms (e.g., Alibaba DAMO Academy, SAIC Motor R&amp;D division)</w:t>
      </w:r>
    </w:p>
    <w:p>
      <w:pPr>
        <w:numPr>
          <w:ilvl w:val="0"/>
          <w:numId w:val="1001"/>
        </w:numPr>
        <w:pStyle w:val="Compact"/>
      </w:pPr>
      <w:r>
        <w:rPr>
          <w:bCs/>
          <w:b/>
        </w:rPr>
        <w:t xml:space="preserve">Market Penetration:</w:t>
      </w:r>
      <w:r>
        <w:t xml:space="preserve"> </w:t>
      </w:r>
      <w:r>
        <w:t xml:space="preserve">Achieved 31% market share in Shanghai's academic research services segment—surpassing regional competitors by 19%</w:t>
      </w:r>
    </w:p>
    <w:p>
      <w:pPr>
        <w:pStyle w:val="FirstParagraph"/>
      </w:pPr>
      <w:r>
        <w:t xml:space="preserve">Notably, our Academic Researcher's dual expertise in both technical research (PhD in Bioinformatics) and commercial strategy enabled us to secure the landmark $8.5M contract with ShanghaiTech University for their National Precision Medicine Initiative—a deal previously considered unattainable by purely sales-focused teams.</w:t>
      </w:r>
    </w:p>
    <w:bookmarkEnd w:id="22"/>
    <w:bookmarkStart w:id="23" w:name="X76ef37dcfd8c892274b87a813b77cc2107edfa6"/>
    <w:p>
      <w:pPr>
        <w:pStyle w:val="Heading2"/>
      </w:pPr>
      <w:r>
        <w:t xml:space="preserve">Strategic Value of the Academic Researcher Role</w:t>
      </w:r>
    </w:p>
    <w:p>
      <w:pPr>
        <w:pStyle w:val="FirstParagraph"/>
      </w:pPr>
      <w:r>
        <w:t xml:space="preserve">The success in China Shanghai stems from our unique Academic Researcher model, which transcends traditional sales functions. Unlike standard account managers, our researchers:</w:t>
      </w:r>
    </w:p>
    <w:p>
      <w:pPr>
        <w:numPr>
          <w:ilvl w:val="0"/>
          <w:numId w:val="1002"/>
        </w:numPr>
        <w:pStyle w:val="Compact"/>
      </w:pPr>
      <w:r>
        <w:rPr>
          <w:bCs/>
          <w:b/>
        </w:rPr>
        <w:t xml:space="preserve">Speak the Language of Academia:</w:t>
      </w:r>
      <w:r>
        <w:t xml:space="preserve"> </w:t>
      </w:r>
      <w:r>
        <w:t xml:space="preserve">Understand peer-review processes, grant writing requirements (e.g., NSFC), and institutional decision-making hierarchies in Shanghai universities</w:t>
      </w:r>
    </w:p>
    <w:p>
      <w:pPr>
        <w:numPr>
          <w:ilvl w:val="0"/>
          <w:numId w:val="1002"/>
        </w:numPr>
        <w:pStyle w:val="Compact"/>
      </w:pPr>
      <w:r>
        <w:rPr>
          <w:bCs/>
          <w:b/>
        </w:rPr>
        <w:t xml:space="preserve">Build Credibility Through Expertise:</w:t>
      </w:r>
      <w:r>
        <w:t xml:space="preserve"> </w:t>
      </w:r>
      <w:r>
        <w:t xml:space="preserve">Conducted 42 technical workshops at Shanghai research centers, positioning us as thought leaders rather than vendors</w:t>
      </w:r>
    </w:p>
    <w:p>
      <w:pPr>
        <w:numPr>
          <w:ilvl w:val="0"/>
          <w:numId w:val="1002"/>
        </w:numPr>
        <w:pStyle w:val="Compact"/>
      </w:pPr>
      <w:r>
        <w:rPr>
          <w:bCs/>
          <w:b/>
        </w:rPr>
        <w:t xml:space="preserve">Enable Solution Co-Creation:</w:t>
      </w:r>
      <w:r>
        <w:t xml:space="preserve"> </w:t>
      </w:r>
      <w:r>
        <w:t xml:space="preserve">Jointly designed the "Shanghai Research Accelerator" suite with Tsinghua-School of Medicine faculty, resulting in 120+ institutional adoptions</w:t>
      </w:r>
    </w:p>
    <w:p>
      <w:pPr>
        <w:pStyle w:val="FirstParagraph"/>
      </w:pPr>
      <w:r>
        <w:t xml:space="preserve">This approach directly addresses Shanghai's most critical pain point: bridging the gap between academic research and industrial application. Our Academic Researcher's ability to translate complex technical capabilities into business outcomes has become a differentiator in China Shanghai's competitive landscape.</w:t>
      </w:r>
    </w:p>
    <w:bookmarkEnd w:id="23"/>
    <w:bookmarkStart w:id="24" w:name="shanghai-specific-challenges-solutions"/>
    <w:p>
      <w:pPr>
        <w:pStyle w:val="Heading2"/>
      </w:pPr>
      <w:r>
        <w:t xml:space="preserve">Shanghai-Specific Challenges &amp; Solutions</w:t>
      </w:r>
    </w:p>
    <w:p>
      <w:pPr>
        <w:pStyle w:val="FirstParagraph"/>
      </w:pPr>
      <w:r>
        <w:t xml:space="preserve">Operating in China Shanghai presented unique obstacles requiring specialized Academic Researcher intervention: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Academic Researcher Solution</w:t>
            </w:r>
          </w:p>
        </w:tc>
        <w:tc>
          <w:tcPr/>
          <w:p>
            <w:pPr>
              <w:pStyle w:val="Compact"/>
              <w:jc w:val="left"/>
            </w:pPr>
            <w:r>
              <w:t xml:space="preserve">Outcome</w:t>
            </w:r>
          </w:p>
        </w:tc>
      </w:tr>
      <w:tr>
        <w:tc>
          <w:tcPr/>
          <w:p>
            <w:pPr>
              <w:pStyle w:val="Compact"/>
              <w:jc w:val="left"/>
            </w:pPr>
            <w:r>
              <w:t xml:space="preserve">Cultural misalignment in academic sales cycles (avg. 12-18 months)</w:t>
            </w:r>
          </w:p>
        </w:tc>
        <w:tc>
          <w:tcPr/>
          <w:p>
            <w:pPr>
              <w:pStyle w:val="Compact"/>
              <w:jc w:val="left"/>
            </w:pPr>
            <w:r>
              <w:t xml:space="preserve">Developed Shanghai-specific partnership framework with faculty co-signature requirements</w:t>
            </w:r>
          </w:p>
        </w:tc>
        <w:tc>
          <w:tcPr/>
          <w:p>
            <w:pPr>
              <w:pStyle w:val="Compact"/>
              <w:jc w:val="left"/>
            </w:pPr>
            <w:r>
              <w:t xml:space="preserve">Reduced sales cycle by 38% through institutional trust-building</w:t>
            </w:r>
          </w:p>
        </w:tc>
      </w:tr>
      <w:tr>
        <w:tc>
          <w:tcPr/>
          <w:p>
            <w:pPr>
              <w:pStyle w:val="Compact"/>
              <w:jc w:val="left"/>
            </w:pPr>
            <w:r>
              <w:t xml:space="preserve">Lack of technical validation for commercial products in academic settings</w:t>
            </w:r>
          </w:p>
        </w:tc>
        <w:tc>
          <w:tcPr/>
          <w:p>
            <w:pPr>
              <w:pStyle w:val="Compact"/>
              <w:jc w:val="left"/>
            </w:pPr>
            <w:r>
              <w:t xml:space="preserve">Deployed Academic Researcher-led pilot programs at Shanghai universities with IRB approval</w:t>
            </w:r>
          </w:p>
        </w:tc>
        <w:tc>
          <w:tcPr/>
          <w:p>
            <w:pPr>
              <w:pStyle w:val="Compact"/>
              <w:jc w:val="left"/>
            </w:pPr>
            <w:r>
              <w:t xml:space="preserve">24 new product validations secured (100% conversion to full contracts)</w:t>
            </w:r>
          </w:p>
        </w:tc>
      </w:tr>
      <w:tr>
        <w:tc>
          <w:tcPr/>
          <w:p>
            <w:pPr>
              <w:pStyle w:val="Compact"/>
              <w:jc w:val="left"/>
            </w:pPr>
            <w:r>
              <w:t xml:space="preserve">Competition from Chinese state-owned research firms</w:t>
            </w:r>
          </w:p>
        </w:tc>
        <w:tc>
          <w:tcPr/>
          <w:p>
            <w:pPr>
              <w:pStyle w:val="Compact"/>
              <w:jc w:val="left"/>
            </w:pPr>
            <w:r>
              <w:t xml:space="preserve">Positioned Academic Researcher team as "neutral third-party validators" with international accreditation</w:t>
            </w:r>
          </w:p>
        </w:tc>
        <w:tc>
          <w:tcPr/>
          <w:p>
            <w:pPr>
              <w:pStyle w:val="Compact"/>
              <w:jc w:val="left"/>
            </w:pPr>
            <w:r>
              <w:t xml:space="preserve">Won 15 deals previously dominated by domestic competitors</w:t>
            </w:r>
          </w:p>
        </w:tc>
      </w:tr>
    </w:tbl>
    <w:bookmarkEnd w:id="24"/>
    <w:bookmarkStart w:id="25" w:name="X10061bd1fb36c3b5bf9e4048ad7985bd3c34c17"/>
    <w:p>
      <w:pPr>
        <w:pStyle w:val="Heading2"/>
      </w:pPr>
      <w:r>
        <w:t xml:space="preserve">Growth Strategy for China Shanghai (2024-2025)</w:t>
      </w:r>
    </w:p>
    <w:p>
      <w:pPr>
        <w:pStyle w:val="FirstParagraph"/>
      </w:pPr>
      <w:r>
        <w:t xml:space="preserve">Based on our 37% growth trajectory, we're implementing three pillars to scale the Academic Researcher impact in Shanghai:</w:t>
      </w:r>
    </w:p>
    <w:p>
      <w:pPr>
        <w:numPr>
          <w:ilvl w:val="0"/>
          <w:numId w:val="1003"/>
        </w:numPr>
        <w:pStyle w:val="Compact"/>
      </w:pPr>
      <w:r>
        <w:rPr>
          <w:bCs/>
          <w:b/>
        </w:rPr>
        <w:t xml:space="preserve">Shanghai Innovation Ecosystem Integration:</w:t>
      </w:r>
      <w:r>
        <w:t xml:space="preserve"> </w:t>
      </w:r>
      <w:r>
        <w:t xml:space="preserve">Partnering with Zhangjiang Hi-Tech Park's innovation fund to co-invest in academic startups—creating new sales pipelines through portfolio companies</w:t>
      </w:r>
    </w:p>
    <w:p>
      <w:pPr>
        <w:numPr>
          <w:ilvl w:val="0"/>
          <w:numId w:val="1003"/>
        </w:numPr>
        <w:pStyle w:val="Compact"/>
      </w:pPr>
      <w:r>
        <w:rPr>
          <w:bCs/>
          <w:b/>
        </w:rPr>
        <w:t xml:space="preserve">AI-Powered Research Intelligence:</w:t>
      </w:r>
      <w:r>
        <w:t xml:space="preserve"> </w:t>
      </w:r>
      <w:r>
        <w:t xml:space="preserve">Deploying an Academic Researcher-specific AI tool to track Shanghai university funding patterns and predict contract opportunities 6-9 months in advance</w:t>
      </w:r>
    </w:p>
    <w:p>
      <w:pPr>
        <w:numPr>
          <w:ilvl w:val="0"/>
          <w:numId w:val="1003"/>
        </w:numPr>
        <w:pStyle w:val="Compact"/>
      </w:pPr>
      <w:r>
        <w:rPr>
          <w:bCs/>
          <w:b/>
        </w:rPr>
        <w:t xml:space="preserve">Talent Development Initiative:</w:t>
      </w:r>
      <w:r>
        <w:t xml:space="preserve"> </w:t>
      </w:r>
      <w:r>
        <w:t xml:space="preserve">Establishing a dedicated "Shanghai Academic Sales Fellowship" to train local researchers in commercial skills (20+ participants enrolled Q1 2024)</w:t>
      </w:r>
    </w:p>
    <w:bookmarkEnd w:id="25"/>
    <w:bookmarkStart w:id="26" w:name="Xbc3207683323a1522dbb324eef2c8da7dd12c8f"/>
    <w:p>
      <w:pPr>
        <w:pStyle w:val="Heading2"/>
      </w:pPr>
      <w:r>
        <w:t xml:space="preserve">Conclusion: The Future of Academic Researcher-Driven Sales in China Shanghai</w:t>
      </w:r>
    </w:p>
    <w:p>
      <w:pPr>
        <w:pStyle w:val="FirstParagraph"/>
      </w:pPr>
      <w:r>
        <w:t xml:space="preserve">This</w:t>
      </w:r>
      <w:r>
        <w:t xml:space="preserve"> </w:t>
      </w:r>
      <w:r>
        <w:rPr>
          <w:bCs/>
          <w:b/>
        </w:rPr>
        <w:t xml:space="preserve">Sales Report</w:t>
      </w:r>
      <w:r>
        <w:t xml:space="preserve"> </w:t>
      </w:r>
      <w:r>
        <w:t xml:space="preserve">conclusively demonstrates that the Academic Researcher role is not merely a sales function, but the strategic engine for commercializing knowledge in China Shanghai. By leveraging deep academic credibility within Shanghai's innovation ecosystem, our Academic Researcher team has transformed how research services are sold—moving beyond transactional relationships to becoming indispensable partners in Shanghai's $120 billion annual R&amp;D investment cycle.</w:t>
      </w:r>
    </w:p>
    <w:p>
      <w:pPr>
        <w:pStyle w:val="BodyText"/>
      </w:pPr>
      <w:r>
        <w:t xml:space="preserve">Looking ahead, we project 45% revenue growth from China Shanghai operations by Q4 2025, driven by the Academic Researcher model. As Shanghai accelerates its "Global Science City" ambitions under the 14th Five-Year Plan, our position as a trusted Academic Researcher partner will be critical to capturing emerging opportunities in quantum computing, biotech manufacturing, and green energy research. The data is clear: In China Shanghai's knowledge economy, success belongs to those who understand both the lab bench and the boardroom—precisely what our Academic Researcher team delivers.</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Shanghai Innovation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China Shanghai Market Performance</dc:title>
  <dc:creator/>
  <dc:language>en</dc:language>
  <cp:keywords/>
  <dcterms:created xsi:type="dcterms:W3CDTF">2025-12-09T18:59:03Z</dcterms:created>
  <dcterms:modified xsi:type="dcterms:W3CDTF">2025-12-09T18:59:03Z</dcterms:modified>
</cp:coreProperties>
</file>

<file path=docProps/custom.xml><?xml version="1.0" encoding="utf-8"?>
<Properties xmlns="http://schemas.openxmlformats.org/officeDocument/2006/custom-properties" xmlns:vt="http://schemas.openxmlformats.org/officeDocument/2006/docPropsVTypes"/>
</file>