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8" w:name="Xe35ef2bb34a62c32f03a5b4787b4760bcd232e8"/>
    <w:p>
      <w:pPr>
        <w:pStyle w:val="Heading1"/>
      </w:pPr>
      <w:r>
        <w:t xml:space="preserve">Sales Report: Academic Researcher Recruitment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Universidad Nacional de Colombia &amp; Regional Academic Partners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recruitment performance for the Academic Researcher position within the Bogotá academic ecosystem. As Colombia's primary research hub, Bogotá represents a critical market for attracting high-caliber researchers to drive innovation in STEM, social sciences, and humanities. Our strategic recruitment initiatives achieved 127% of quarterly targets, securing 15 qualified Academic Researchers across six major universities in Colombia Bogotá. This exceeds regional averages by 42% and positions us as the leading talent acquisition partner for academic research roles in the capital city.</w:t>
      </w:r>
    </w:p>
    <w:bookmarkEnd w:id="20"/>
    <w:bookmarkStart w:id="21" w:name="X29ea34530fa90d565bf99a7efb90e6aea8055a5"/>
    <w:p>
      <w:pPr>
        <w:pStyle w:val="Heading2"/>
      </w:pPr>
      <w:r>
        <w:t xml:space="preserve">Market Context: Academic Researcher Demand in Colombia Bogotá</w:t>
      </w:r>
    </w:p>
    <w:p>
      <w:pPr>
        <w:pStyle w:val="FirstParagraph"/>
      </w:pPr>
      <w:r>
        <w:t xml:space="preserve">Bogotá accounts for 68% of Colombia's academic research output, housing 73% of the country's top universities including Universidad Nacional, Universidad de los Andes, and Pontificia Universidad Javeriana. The Colombian Ministry of Science (Minciencias) has prioritized research investment under its "Colombia Científica" initiative, creating unprecedented demand for Academic Researchers. In Q3 2023 alone, Bogotá-based institutions posted 87 new Researcher vacancies – a 31% YoY increase. Our Sales Report confirms that competitive recruitment is now the primary differentiator in securing talent for Colombia's knowledge economy.</w:t>
      </w:r>
    </w:p>
    <w:bookmarkEnd w:id="21"/>
    <w:bookmarkStart w:id="22" w:name="X260a96f57042c3f9f5b09a3bc8d68372e603921"/>
    <w:p>
      <w:pPr>
        <w:pStyle w:val="Heading2"/>
      </w:pPr>
      <w:r>
        <w:t xml:space="preserve">Recruitment Strategy &amp; Sales Pipeline Performance</w:t>
      </w:r>
    </w:p>
    <w:p>
      <w:pPr>
        <w:pStyle w:val="FirstParagraph"/>
      </w:pPr>
      <w:r>
        <w:t xml:space="preserve">Our sales approach leveraged three core channels tailored to Bogotá's academic landscape:</w:t>
      </w:r>
    </w:p>
    <w:p>
      <w:pPr>
        <w:numPr>
          <w:ilvl w:val="0"/>
          <w:numId w:val="1001"/>
        </w:numPr>
        <w:pStyle w:val="Compact"/>
      </w:pPr>
      <w:r>
        <w:rPr>
          <w:bCs/>
          <w:b/>
        </w:rPr>
        <w:t xml:space="preserve">University Partnerships (45% of placements):</w:t>
      </w:r>
      <w:r>
        <w:t xml:space="preserve"> </w:t>
      </w:r>
      <w:r>
        <w:t xml:space="preserve">Direct contracts with 12 Bogotá institutions. Our sales team conducted 38 on-campus career fairs, generating 217 qualified candidate leads.</w:t>
      </w:r>
    </w:p>
    <w:p>
      <w:pPr>
        <w:numPr>
          <w:ilvl w:val="0"/>
          <w:numId w:val="1001"/>
        </w:numPr>
        <w:pStyle w:val="Compact"/>
      </w:pPr>
      <w:r>
        <w:rPr>
          <w:bCs/>
          <w:b/>
        </w:rPr>
        <w:t xml:space="preserve">Digital Talent Sourcing (35% of placements):</w:t>
      </w:r>
      <w:r>
        <w:t xml:space="preserve"> </w:t>
      </w:r>
      <w:r>
        <w:t xml:space="preserve">Targeted LinkedIn campaigns and academic databases (e.g., SCIELO Colombia) reaching 12,000+ researcher profiles. Conversion rate: 18.4% vs. regional average of 12.6%.</w:t>
      </w:r>
    </w:p>
    <w:p>
      <w:pPr>
        <w:numPr>
          <w:ilvl w:val="0"/>
          <w:numId w:val="1001"/>
        </w:numPr>
        <w:pStyle w:val="Compact"/>
      </w:pPr>
      <w:r>
        <w:rPr>
          <w:bCs/>
          <w:b/>
        </w:rPr>
        <w:t xml:space="preserve">Referral Program (20% of placements):</w:t>
      </w:r>
      <w:r>
        <w:t xml:space="preserve"> </w:t>
      </w:r>
      <w:r>
        <w:t xml:space="preserve">Incentivized current Bogotá-based Academic Researchers to refer peers, achieving 92% retention in hired candidates.</w:t>
      </w:r>
    </w:p>
    <w:p>
      <w:pPr>
        <w:pStyle w:val="FirstParagraph"/>
      </w:pPr>
      <w:r>
        <w:t xml:space="preserve">The Sales Report reveals exceptional sales efficiency: Average time-to-hire decreased from 63 days (Q2) to 41 days (Q3), a 35% improvement driven by our Bogotá-based recruitment team. Our win rate for Academic Researcher positions reached 89% – significantly above the national average of 72%. Notably, all placements in Colombia Bogotá required full relocation support due to the city's competitive housing market (average rent increase: +14.2% YoY).</w:t>
      </w:r>
    </w:p>
    <w:bookmarkEnd w:id="22"/>
    <w:bookmarkStart w:id="23" w:name="key-success-metrics"/>
    <w:p>
      <w:pPr>
        <w:pStyle w:val="Heading2"/>
      </w:pPr>
      <w:r>
        <w:t xml:space="preserve">Key Success Metrics</w:t>
      </w:r>
    </w:p>
    <w:p>
      <w:pPr>
        <w:pStyle w:val="FirstParagraph"/>
      </w:pPr>
      <w:r>
        <w:t xml:space="preserve">KPI</w:t>
      </w:r>
    </w:p>
    <w:p>
      <w:pPr>
        <w:pStyle w:val="BodyText"/>
      </w:pPr>
      <w:r>
        <w:t xml:space="preserve">Q3 2023 Performance</w:t>
      </w:r>
    </w:p>
    <w:p>
      <w:pPr>
        <w:pStyle w:val="BodyText"/>
      </w:pPr>
      <w:r>
        <w:t xml:space="preserve">Q2 2023 Target</w:t>
      </w:r>
    </w:p>
    <w:p>
      <w:pPr>
        <w:pStyle w:val="BodyText"/>
      </w:pPr>
      <w:r>
        <w:t xml:space="preserve">Regional Benchmark (Colombia)</w:t>
      </w:r>
    </w:p>
    <w:p>
      <w:pPr>
        <w:pStyle w:val="BodyText"/>
      </w:pPr>
      <w:r>
        <w:t xml:space="preserve">New Academic Researcher Placements</w:t>
      </w:r>
    </w:p>
    <w:p>
      <w:pPr>
        <w:pStyle w:val="BodyText"/>
      </w:pPr>
      <w:r>
        <w:t xml:space="preserve">15</w:t>
      </w:r>
    </w:p>
    <w:p>
      <w:pPr>
        <w:pStyle w:val="BodyText"/>
      </w:pPr>
      <w:r>
        <w:t xml:space="preserve">10</w:t>
      </w:r>
    </w:p>
    <w:p>
      <w:pPr>
        <w:pStyle w:val="BodyText"/>
      </w:pPr>
      <w:r>
        <w:t xml:space="preserve">7.2</w:t>
      </w:r>
    </w:p>
    <w:p>
      <w:pPr>
        <w:pStyle w:val="BodyText"/>
      </w:pPr>
      <w:r>
        <w:t xml:space="preserve">Candidate Quality Score (5-point scale)</w:t>
      </w:r>
    </w:p>
    <w:p>
      <w:pPr>
        <w:pStyle w:val="BodyText"/>
      </w:pPr>
      <w:r>
        <w:t xml:space="preserve">4.6/5.0</w:t>
      </w:r>
    </w:p>
    <w:p>
      <w:pPr>
        <w:pStyle w:val="BodyText"/>
      </w:pPr>
      <w:r>
        <w:t xml:space="preserve">&lt;</w:t>
      </w:r>
    </w:p>
    <w:p>
      <w:pPr>
        <w:pStyle w:val="BodyText"/>
      </w:pPr>
      <w:r>
        <w:t xml:space="preserve">N/A</w:t>
      </w:r>
    </w:p>
    <w:p>
      <w:pPr>
        <w:pStyle w:val="BodyText"/>
      </w:pPr>
      <w:r>
        <w:t xml:space="preserve">3.8/5.0</w:t>
      </w:r>
    </w:p>
    <w:p>
      <w:pPr>
        <w:pStyle w:val="BodyText"/>
      </w:pPr>
      <w:r>
        <w:t xml:space="preserve">Time-to-Hire (Days)</w:t>
      </w:r>
    </w:p>
    <w:p>
      <w:pPr>
        <w:pStyle w:val="BodyText"/>
      </w:pPr>
      <w:r>
        <w:t xml:space="preserve">41</w:t>
      </w:r>
    </w:p>
    <w:p>
      <w:pPr>
        <w:pStyle w:val="BodyText"/>
      </w:pPr>
      <w:r>
        <w:t xml:space="preserve">49</w:t>
      </w:r>
    </w:p>
    <w:p>
      <w:pPr>
        <w:pStyle w:val="BodyText"/>
      </w:pPr>
      <w:r>
        <w:t xml:space="preserve">63</w:t>
      </w:r>
    </w:p>
    <w:p>
      <w:pPr>
        <w:pStyle w:val="BodyText"/>
      </w:pPr>
      <w:r>
        <w:t xml:space="preserve">Talent Retention (6-Month)</w:t>
      </w:r>
    </w:p>
    <w:p>
      <w:pPr>
        <w:pStyle w:val="BodyText"/>
      </w:pPr>
      <w:r>
        <w:t xml:space="preserve">93%</w:t>
      </w:r>
    </w:p>
    <w:p>
      <w:pPr>
        <w:pStyle w:val="BodyText"/>
      </w:pPr>
      <w:r>
        <w:t xml:space="preserve">&lt;</w:t>
      </w:r>
    </w:p>
    <w:p>
      <w:pPr>
        <w:pStyle w:val="BodyText"/>
      </w:pPr>
      <w:r>
        <w:t xml:space="preserve">N/A</w:t>
      </w:r>
    </w:p>
    <w:p>
      <w:pPr>
        <w:pStyle w:val="BodyText"/>
      </w:pPr>
      <w:r>
        <w:t xml:space="preserve">81%</w:t>
      </w:r>
    </w:p>
    <w:bookmarkEnd w:id="23"/>
    <w:bookmarkStart w:id="24" w:name="X98af1ff2411cd7e1492169f105ad9dc491e6094"/>
    <w:p>
      <w:pPr>
        <w:pStyle w:val="Heading2"/>
      </w:pPr>
      <w:r>
        <w:t xml:space="preserve">Challenges &amp; Adaptations in Colombia Bogotá</w:t>
      </w:r>
    </w:p>
    <w:p>
      <w:pPr>
        <w:pStyle w:val="FirstParagraph"/>
      </w:pPr>
      <w:r>
        <w:t xml:space="preserve">The Sales Report identifies two critical market challenges unique to Bogotá:</w:t>
      </w:r>
    </w:p>
    <w:p>
      <w:pPr>
        <w:numPr>
          <w:ilvl w:val="0"/>
          <w:numId w:val="1002"/>
        </w:numPr>
        <w:pStyle w:val="Compact"/>
      </w:pPr>
      <w:r>
        <w:rPr>
          <w:bCs/>
          <w:b/>
        </w:rPr>
        <w:t xml:space="preserve">Competitive Compensation Landscape:</w:t>
      </w:r>
      <w:r>
        <w:t xml:space="preserve"> </w:t>
      </w:r>
      <w:r>
        <w:t xml:space="preserve">67% of candidates negotiated for relocation packages exceeding Bogotá's average salary by 28%. Our sales team developed a standardized "Researcher Mobility Package" (including housing stipends, transport subsidies, and language training) that resolved 94% of compensation objections.</w:t>
      </w:r>
    </w:p>
    <w:p>
      <w:pPr>
        <w:numPr>
          <w:ilvl w:val="0"/>
          <w:numId w:val="1002"/>
        </w:numPr>
        <w:pStyle w:val="Compact"/>
      </w:pPr>
      <w:r>
        <w:rPr>
          <w:bCs/>
          <w:b/>
        </w:rPr>
        <w:t xml:space="preserve">Regulatory Complexity:</w:t>
      </w:r>
      <w:r>
        <w:t xml:space="preserve"> </w:t>
      </w:r>
      <w:r>
        <w:t xml:space="preserve">Visa processing for international Academic Researchers increased by 22% due to new Colombia migration policies. We partnered with Bogotá's "Innovación y Tecnología" office to create a dedicated visa support unit, reducing onboarding time by 30 days.</w:t>
      </w:r>
    </w:p>
    <w:p>
      <w:pPr>
        <w:pStyle w:val="FirstParagraph"/>
      </w:pPr>
      <w:r>
        <w:t xml:space="preserve">Our sales strategy successfully navigated these challenges through hyper-localized tactics – including hiring bilingual recruiters fluent in Colombian academic culture (e.g., understanding "reputación institucional" expectations) and hosting monthly Bogotá networking events with research deans.</w:t>
      </w:r>
    </w:p>
    <w:bookmarkEnd w:id="24"/>
    <w:bookmarkStart w:id="25" w:name="Xd32353bd4c3aa68ade4a8803e0c885e4d4b63bd"/>
    <w:p>
      <w:pPr>
        <w:pStyle w:val="Heading2"/>
      </w:pPr>
      <w:r>
        <w:t xml:space="preserve">ROI Analysis: Academic Researcher Investment in Colombia Bogotá</w:t>
      </w:r>
    </w:p>
    <w:p>
      <w:pPr>
        <w:pStyle w:val="FirstParagraph"/>
      </w:pPr>
      <w:r>
        <w:t xml:space="preserve">Each successfully placed Academic Researcher generates an estimated $185,000 in annual research output value for Colombian institutions (per Minciencias data). With 15 placements this quarter:</w:t>
      </w:r>
    </w:p>
    <w:p>
      <w:pPr>
        <w:numPr>
          <w:ilvl w:val="0"/>
          <w:numId w:val="1003"/>
        </w:numPr>
        <w:pStyle w:val="Compact"/>
      </w:pPr>
      <w:r>
        <w:t xml:space="preserve">Total immediate ROI: $2.78M</w:t>
      </w:r>
    </w:p>
    <w:p>
      <w:pPr>
        <w:numPr>
          <w:ilvl w:val="0"/>
          <w:numId w:val="1003"/>
        </w:numPr>
        <w:pStyle w:val="Compact"/>
      </w:pPr>
      <w:r>
        <w:t xml:space="preserve">Cost per placement: $34,200 (vs. industry average of $48,600)</w:t>
      </w:r>
    </w:p>
    <w:p>
      <w:pPr>
        <w:numPr>
          <w:ilvl w:val="0"/>
          <w:numId w:val="1003"/>
        </w:numPr>
        <w:pStyle w:val="Compact"/>
      </w:pPr>
      <w:r>
        <w:t xml:space="preserve">Net profit margin: 79% (vs. sector median of 58%)</w:t>
      </w:r>
    </w:p>
    <w:p>
      <w:pPr>
        <w:pStyle w:val="FirstParagraph"/>
      </w:pPr>
      <w:r>
        <w:t xml:space="preserve">This exceptional ROI validates our targeted approach to the Colombia Bogotá market, where academic institutions are prioritizing research talent as their primary growth lever.</w:t>
      </w:r>
    </w:p>
    <w:bookmarkEnd w:id="25"/>
    <w:bookmarkStart w:id="26" w:name="recommendations-for-q4-2023-beyond"/>
    <w:p>
      <w:pPr>
        <w:pStyle w:val="Heading2"/>
      </w:pPr>
      <w:r>
        <w:t xml:space="preserve">Recommendations for Q4 2023 &amp; Beyond</w:t>
      </w:r>
    </w:p>
    <w:p>
      <w:pPr>
        <w:numPr>
          <w:ilvl w:val="0"/>
          <w:numId w:val="1004"/>
        </w:numPr>
        <w:pStyle w:val="Compact"/>
      </w:pPr>
      <w:r>
        <w:rPr>
          <w:bCs/>
          <w:b/>
        </w:rPr>
        <w:t xml:space="preserve">Scale Bogotá-Specific Talent Pools:</w:t>
      </w:r>
      <w:r>
        <w:t xml:space="preserve"> </w:t>
      </w:r>
      <w:r>
        <w:t xml:space="preserve">Develop dedicated "Bogotá Researcher Networks" with local academic associations to preemptively identify candidates before vacancies open.</w:t>
      </w:r>
    </w:p>
    <w:p>
      <w:pPr>
        <w:numPr>
          <w:ilvl w:val="0"/>
          <w:numId w:val="1004"/>
        </w:numPr>
        <w:pStyle w:val="Compact"/>
      </w:pPr>
      <w:r>
        <w:rPr>
          <w:bCs/>
          <w:b/>
        </w:rPr>
        <w:t xml:space="preserve">Enhance Relocation Infrastructure:</w:t>
      </w:r>
      <w:r>
        <w:t xml:space="preserve"> </w:t>
      </w:r>
      <w:r>
        <w:t xml:space="preserve">Partner with Bogotá housing cooperatives to secure 50+ researcher apartments at fixed rates, reducing a key sales obstacle.</w:t>
      </w:r>
    </w:p>
    <w:p>
      <w:pPr>
        <w:numPr>
          <w:ilvl w:val="0"/>
          <w:numId w:val="1004"/>
        </w:numPr>
        <w:pStyle w:val="Compact"/>
      </w:pPr>
      <w:r>
        <w:rPr>
          <w:bCs/>
          <w:b/>
        </w:rPr>
        <w:t xml:space="preserve">Leverage Government Incentives:</w:t>
      </w:r>
      <w:r>
        <w:t xml:space="preserve"> </w:t>
      </w:r>
      <w:r>
        <w:t xml:space="preserve">Apply for Minciencias' "Talent Retention Grants" covering 30% of recruitment costs – expected to reduce our cost per placement by $12,000.</w:t>
      </w:r>
    </w:p>
    <w:bookmarkEnd w:id="26"/>
    <w:bookmarkStart w:id="27" w:name="conclusion"/>
    <w:p>
      <w:pPr>
        <w:pStyle w:val="Heading2"/>
      </w:pPr>
      <w:r>
        <w:t xml:space="preserve">Conclusion</w:t>
      </w:r>
    </w:p>
    <w:p>
      <w:pPr>
        <w:pStyle w:val="FirstParagraph"/>
      </w:pPr>
      <w:r>
        <w:t xml:space="preserve">This Sales Report confirms that Colombia Bogotá has become the undisputed epicenter for academic research talent acquisition in Latin America. Our Academic Researcher recruitment program not only exceeded performance targets but also established a replicable model for high-value talent sales in Colombia's knowledge-driven economy. As Bogotá continues to attract 27% of all international research collaborations with Colombian institutions (per OECD data), our position as the leading sales partner for Academic Researcher roles provides a strategic advantage that directly supports Colombia's national innovation goals.</w:t>
      </w:r>
    </w:p>
    <w:p>
      <w:pPr>
        <w:pStyle w:val="BodyText"/>
      </w:pPr>
      <w:r>
        <w:t xml:space="preserve">With the Q3 results, we've demonstrated that success in this market requires deep cultural understanding of Bogotá's academic ecosystem – not just transactional recruitment. Moving forward, our sales strategy will evolve from "filling positions" to "cultivating research communities," ensuring Colombia Bogotá remains at the forefront of global academic excellence.</w:t>
      </w:r>
    </w:p>
    <w:p>
      <w:pPr>
        <w:pStyle w:val="BodyText"/>
      </w:pPr>
      <w:r>
        <w:rPr>
          <w:bCs/>
          <w:b/>
        </w:rPr>
        <w:t xml:space="preserve">Prepared by:</w:t>
      </w:r>
      <w:r>
        <w:t xml:space="preserve"> </w:t>
      </w:r>
      <w:r>
        <w:t xml:space="preserve">Global Academic Talent Solutions</w:t>
      </w:r>
      <w:r>
        <w:br/>
      </w:r>
      <w:r>
        <w:rPr>
          <w:bCs/>
          <w:b/>
        </w:rPr>
        <w:t xml:space="preserve">Signature:</w:t>
      </w:r>
      <w:r>
        <w:t xml:space="preserve"> </w:t>
      </w:r>
      <w:r>
        <w:t xml:space="preserve">Ana María Rojas, Director of Latin American Sales</w:t>
      </w:r>
      <w:r>
        <w:br/>
      </w:r>
      <w:r>
        <w:rPr>
          <w:bCs/>
          <w:b/>
        </w:rPr>
        <w:t xml:space="preserve">Contact:</w:t>
      </w:r>
      <w:r>
        <w:t xml:space="preserve"> </w:t>
      </w:r>
      <w:r>
        <w:t xml:space="preserve">ana.rojas@academictalentsolutions.co | +57 1 300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Colombia Bogotá Market Analysis</dc:title>
  <dc:creator/>
  <dc:language>en</dc:language>
  <cp:keywords/>
  <dcterms:created xsi:type="dcterms:W3CDTF">2026-07-24T08:53:13Z</dcterms:created>
  <dcterms:modified xsi:type="dcterms:W3CDTF">2026-07-24T08:53:13Z</dcterms:modified>
</cp:coreProperties>
</file>

<file path=docProps/custom.xml><?xml version="1.0" encoding="utf-8"?>
<Properties xmlns="http://schemas.openxmlformats.org/officeDocument/2006/custom-properties" xmlns:vt="http://schemas.openxmlformats.org/officeDocument/2006/docPropsVTypes"/>
</file>