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Market</w:t>
      </w:r>
      <w:r>
        <w:t xml:space="preserve"> </w:t>
      </w:r>
      <w:r>
        <w:t xml:space="preserve">Analysis</w:t>
      </w:r>
      <w:r>
        <w:t xml:space="preserve"> </w:t>
      </w:r>
      <w:r>
        <w:t xml:space="preserve">in</w:t>
      </w:r>
      <w:r>
        <w:t xml:space="preserve"> </w:t>
      </w:r>
      <w:r>
        <w:t xml:space="preserve">Colombia</w:t>
      </w:r>
      <w:r>
        <w:t xml:space="preserve"> </w:t>
      </w:r>
      <w:r>
        <w:t xml:space="preserve">Medellín</w:t>
      </w:r>
    </w:p>
    <w:bookmarkStart w:id="31" w:name="Xffbfbe2f65998242b9df67b6586f2c014045f49"/>
    <w:p>
      <w:pPr>
        <w:pStyle w:val="Heading1"/>
      </w:pPr>
      <w:r>
        <w:t xml:space="preserve">Comprehensive Sales Report: Academic Researcher Market Dynamics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Research Solutions Group | Medellín Operations</w:t>
      </w:r>
      <w:r>
        <w:br/>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the performance and strategic opportunities for research-driven sales initiatives targeting Academic Researchers across Colombia Medellín. As one of Latin America's leading innovation hubs, Medellín presents a dynamic ecosystem where academic researchers represent a high-value customer segment demanding specialized knowledge solutions. Our Q3 2023 performance demonstrates a 28% year-over-year growth in engagements with Academic Researchers, totaling $415,000 in sales revenue within Colombia Medellín. Key drivers include university partnerships, government research grants (FONDECYT), and Medellín's burgeoning biotechnology sector. This report outlines actionable strategies to capitalize on this momentum while addressing unique regional challenges.</w:t>
      </w:r>
    </w:p>
    <w:bookmarkEnd w:id="20"/>
    <w:bookmarkStart w:id="21" w:name="Xea65e39ba0c8427415445f8b95493a541e78b80"/>
    <w:p>
      <w:pPr>
        <w:pStyle w:val="Heading2"/>
      </w:pPr>
      <w:r>
        <w:t xml:space="preserve">II. Market Context: Academic Researcher Landscape in Colombia Medellín</w:t>
      </w:r>
    </w:p>
    <w:p>
      <w:pPr>
        <w:pStyle w:val="FirstParagraph"/>
      </w:pPr>
      <w:r>
        <w:t xml:space="preserve">Colombia Medellín has transformed into a premier destination for academic research, fueled by institutions like Universidad de Antioquia (ranked #1 in Colombia for research impact), EAFIT University's innovation centers, and the Medellín Science Park. The city hosts over 370 active Academic Researchers specializing in sustainable urban development, healthcare analytics, and environmental sciences – sectors aligning with our core offerings. Notably, Medellín's academic community exhibits a 40% higher engagement rate with data-driven research tools compared to other Colombian cities, creating an optimal market for tailored sales strategies.</w:t>
      </w:r>
    </w:p>
    <w:p>
      <w:pPr>
        <w:pStyle w:val="BodyText"/>
      </w:pPr>
      <w:r>
        <w:t xml:space="preserve">Crucially, the term "Academic Researcher" in Colombia Medellín transcends traditional roles. Today's Academic Researcher functions as a multifaceted knowledge broker – simultaneously conducting fieldwork in Antioquia's coffee regions, publishing in Scopus-indexed journals, and collaborating with municipal agencies on smart city initiatives. This expanded professional identity directly impacts sales opportunities: 72% of Academic Researchers now prioritize solutions offering immediate applicability to community development projects.</w:t>
      </w:r>
    </w:p>
    <w:bookmarkEnd w:id="21"/>
    <w:bookmarkStart w:id="24" w:name="X6ee5bdc389d4177e03dc7fc6b240729a8407be7"/>
    <w:p>
      <w:pPr>
        <w:pStyle w:val="Heading2"/>
      </w:pPr>
      <w:r>
        <w:t xml:space="preserve">III. Q3 Sales Performance Analysis (Colombia Medellín)</w:t>
      </w:r>
    </w:p>
    <w:bookmarkStart w:id="22" w:name="a.-regional-sales-breakdown"/>
    <w:p>
      <w:pPr>
        <w:pStyle w:val="Heading3"/>
      </w:pPr>
      <w:r>
        <w:t xml:space="preserve">A. Regional Sales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University/Institution</w:t>
            </w:r>
          </w:p>
        </w:tc>
        <w:tc>
          <w:tcPr/>
          <w:p>
            <w:pPr>
              <w:pStyle w:val="Compact"/>
              <w:jc w:val="left"/>
            </w:pPr>
            <w:r>
              <w:t xml:space="preserve">Academic Researchers Engaged</w:t>
            </w:r>
          </w:p>
        </w:tc>
        <w:tc>
          <w:tcPr/>
          <w:p>
            <w:pPr>
              <w:pStyle w:val="Compact"/>
              <w:jc w:val="left"/>
            </w:pPr>
            <w:r>
              <w:t xml:space="preserve">Sales Revenue (USD)</w:t>
            </w:r>
          </w:p>
        </w:tc>
        <w:tc>
          <w:tcPr/>
          <w:p>
            <w:pPr>
              <w:pStyle w:val="Compact"/>
              <w:jc w:val="left"/>
            </w:pPr>
            <w:r>
              <w:t xml:space="preserve">Growth vs Q2 2023</w:t>
            </w:r>
          </w:p>
        </w:tc>
      </w:tr>
      <w:tr>
        <w:tc>
          <w:tcPr/>
          <w:p>
            <w:pPr>
              <w:pStyle w:val="Compact"/>
              <w:jc w:val="left"/>
            </w:pPr>
            <w:r>
              <w:t xml:space="preserve">Universidad de Antioquia</w:t>
            </w:r>
          </w:p>
        </w:tc>
        <w:tc>
          <w:tcPr/>
          <w:p>
            <w:pPr>
              <w:pStyle w:val="Compact"/>
              <w:jc w:val="left"/>
            </w:pPr>
            <w:r>
              <w:t xml:space="preserve">87</w:t>
            </w:r>
          </w:p>
        </w:tc>
        <w:tc>
          <w:tcPr/>
          <w:p>
            <w:pPr>
              <w:pStyle w:val="Compact"/>
              <w:jc w:val="left"/>
            </w:pPr>
            <w:r>
              <w:t xml:space="preserve">$185,000</w:t>
            </w:r>
          </w:p>
        </w:tc>
        <w:tc>
          <w:tcPr/>
          <w:p>
            <w:pPr>
              <w:pStyle w:val="Compact"/>
              <w:jc w:val="left"/>
            </w:pPr>
            <w:r>
              <w:t xml:space="preserve">+34%</w:t>
            </w:r>
          </w:p>
        </w:tc>
      </w:tr>
      <w:tr>
        <w:tc>
          <w:tcPr/>
          <w:p>
            <w:pPr>
              <w:pStyle w:val="Compact"/>
              <w:jc w:val="left"/>
            </w:pPr>
            <w:r>
              <w:t xml:space="preserve">Medellín Science Park Members (23 institutions)</w:t>
            </w:r>
          </w:p>
        </w:tc>
        <w:tc>
          <w:tcPr>
            <w:gridSpan w:val="2"/>
          </w:tcPr>
          <w:p>
            <w:pPr>
              <w:pStyle w:val="Compact"/>
              <w:jc w:val="left"/>
            </w:pPr>
            <w:r>
              <w:t xml:space="preserve">Total: $127,500</w:t>
            </w:r>
          </w:p>
        </w:tc>
        <w:tc>
          <w:tcPr/>
          <w:p>
            <w:pPr>
              <w:pStyle w:val="Compact"/>
              <w:jc w:val="left"/>
            </w:pPr>
            <w:r>
              <w:t xml:space="preserve">+29%</w:t>
            </w:r>
          </w:p>
        </w:tc>
      </w:tr>
      <w:tr>
        <w:tc>
          <w:tcPr/>
          <w:p>
            <w:pPr>
              <w:pStyle w:val="Compact"/>
              <w:jc w:val="left"/>
            </w:pPr>
            <w:r>
              <w:t xml:space="preserve">EAFIT University Research Center</w:t>
            </w:r>
          </w:p>
        </w:tc>
        <w:tc>
          <w:tcPr/>
          <w:p>
            <w:pPr>
              <w:pStyle w:val="Compact"/>
              <w:jc w:val="left"/>
            </w:pPr>
            <w:r>
              <w:t xml:space="preserve">45</w:t>
            </w:r>
          </w:p>
        </w:tc>
        <w:tc>
          <w:tcPr/>
          <w:p>
            <w:pPr>
              <w:pStyle w:val="Compact"/>
              <w:jc w:val="left"/>
            </w:pPr>
            <w:r>
              <w:t xml:space="preserve">$68,300</w:t>
            </w:r>
          </w:p>
        </w:tc>
        <w:tc>
          <w:tcPr/>
          <w:p>
            <w:pPr>
              <w:pStyle w:val="Compact"/>
              <w:jc w:val="left"/>
            </w:pPr>
            <w:r>
              <w:t xml:space="preserve">+41%</w:t>
            </w:r>
          </w:p>
        </w:tc>
      </w:tr>
    </w:tbl>
    <w:bookmarkEnd w:id="22"/>
    <w:bookmarkStart w:id="23" w:name="b.-key-product-adoption-trends"/>
    <w:p>
      <w:pPr>
        <w:pStyle w:val="Heading3"/>
      </w:pPr>
      <w:r>
        <w:t xml:space="preserve">B. Key Product Adoption Trends</w:t>
      </w:r>
    </w:p>
    <w:p>
      <w:pPr>
        <w:numPr>
          <w:ilvl w:val="0"/>
          <w:numId w:val="1001"/>
        </w:numPr>
        <w:pStyle w:val="Compact"/>
      </w:pPr>
      <w:r>
        <w:rPr>
          <w:bCs/>
          <w:b/>
        </w:rPr>
        <w:t xml:space="preserve">Data Visualization Suite:</w:t>
      </w:r>
      <w:r>
        <w:t xml:space="preserve"> </w:t>
      </w:r>
      <w:r>
        <w:t xml:space="preserve">68% adoption rate among Academic Researchers at Universidad de Antioquia for environmental impact studies</w:t>
      </w:r>
    </w:p>
    <w:p>
      <w:pPr>
        <w:numPr>
          <w:ilvl w:val="0"/>
          <w:numId w:val="1001"/>
        </w:numPr>
        <w:pStyle w:val="Compact"/>
      </w:pPr>
      <w:r>
        <w:rPr>
          <w:bCs/>
          <w:b/>
        </w:rPr>
        <w:t xml:space="preserve">Collaborative Research Platforms:</w:t>
      </w:r>
      <w:r>
        <w:t xml:space="preserve"> </w:t>
      </w:r>
      <w:r>
        <w:t xml:space="preserve">57% of sales driven by Medellín-based research teams securing FONDECYT grants (2023)</w:t>
      </w:r>
    </w:p>
    <w:p>
      <w:pPr>
        <w:numPr>
          <w:ilvl w:val="0"/>
          <w:numId w:val="1001"/>
        </w:numPr>
        <w:pStyle w:val="Compact"/>
      </w:pPr>
      <w:r>
        <w:rPr>
          <w:bCs/>
          <w:b/>
        </w:rPr>
        <w:t xml:space="preserve">Field Data Collection Tools:</w:t>
      </w:r>
      <w:r>
        <w:t xml:space="preserve"> </w:t>
      </w:r>
      <w:r>
        <w:t xml:space="preserve">Highest growth segment (+53%) due to Academic Researchers conducting ethnographic studies in Medellín's marginalized communes</w:t>
      </w:r>
    </w:p>
    <w:bookmarkEnd w:id="23"/>
    <w:bookmarkEnd w:id="24"/>
    <w:bookmarkStart w:id="25" w:name="Xb4428b682775b5e5450684f49f42c40b2661e21"/>
    <w:p>
      <w:pPr>
        <w:pStyle w:val="Heading2"/>
      </w:pPr>
      <w:r>
        <w:t xml:space="preserve">IV. Critical Success Factors: The Academic Researcher Mindset in Colombia Medellín</w:t>
      </w:r>
    </w:p>
    <w:p>
      <w:pPr>
        <w:pStyle w:val="FirstParagraph"/>
      </w:pPr>
      <w:r>
        <w:t xml:space="preserve">Understanding the unique professional ecosystem of the Academic Researcher in Colombia Medellín is paramount to effective sales engagement. Our field teams identified three non-negotiable factors:</w:t>
      </w:r>
    </w:p>
    <w:p>
      <w:pPr>
        <w:numPr>
          <w:ilvl w:val="0"/>
          <w:numId w:val="1002"/>
        </w:numPr>
        <w:pStyle w:val="Compact"/>
      </w:pPr>
      <w:r>
        <w:rPr>
          <w:bCs/>
          <w:b/>
        </w:rPr>
        <w:t xml:space="preserve">Local Impact Verification:</w:t>
      </w:r>
      <w:r>
        <w:t xml:space="preserve"> </w:t>
      </w:r>
      <w:r>
        <w:t xml:space="preserve">89% of Academic Researchers demand proof that solutions benefit Medellín's specific challenges (e.g., water management in Aburrá Valley, urban mobility in Comuna 13).</w:t>
      </w:r>
    </w:p>
    <w:p>
      <w:pPr>
        <w:numPr>
          <w:ilvl w:val="0"/>
          <w:numId w:val="1002"/>
        </w:numPr>
        <w:pStyle w:val="Compact"/>
      </w:pPr>
      <w:r>
        <w:rPr>
          <w:bCs/>
          <w:b/>
        </w:rPr>
        <w:t xml:space="preserve">Academic-Community Integration:</w:t>
      </w:r>
      <w:r>
        <w:t xml:space="preserve"> </w:t>
      </w:r>
      <w:r>
        <w:t xml:space="preserve">Solutions must facilitate collaboration between researchers and Medellín municipal programs – a requirement embedded in the city's 2023 Innovation Strategy.</w:t>
      </w:r>
    </w:p>
    <w:p>
      <w:pPr>
        <w:numPr>
          <w:ilvl w:val="0"/>
          <w:numId w:val="1002"/>
        </w:numPr>
        <w:pStyle w:val="Compact"/>
      </w:pPr>
      <w:r>
        <w:rPr>
          <w:bCs/>
          <w:b/>
        </w:rPr>
        <w:t xml:space="preserve">Grants Compliance:</w:t>
      </w:r>
      <w:r>
        <w:t xml:space="preserve"> </w:t>
      </w:r>
      <w:r>
        <w:t xml:space="preserve">Products must align with national grant requirements (e.g., FIDEGEM for environmental research), making technical documentation non-negotiable.</w:t>
      </w:r>
    </w:p>
    <w:p>
      <w:pPr>
        <w:pStyle w:val="FirstParagraph"/>
      </w:pPr>
      <w:r>
        <w:t xml:space="preserve">This mindset differentiates Colombia Medellín from other markets. Our sales approach shifted from product-centric pitches to solution-oriented co-design sessions – a strategy yielding 76% higher conversion rates with Academic Researchers.</w:t>
      </w:r>
    </w:p>
    <w:bookmarkEnd w:id="25"/>
    <w:bookmarkStart w:id="28" w:name="v.-challenges-strategic-opportunities"/>
    <w:p>
      <w:pPr>
        <w:pStyle w:val="Heading2"/>
      </w:pPr>
      <w:r>
        <w:t xml:space="preserve">V. Challenges &amp; Strategic Opportunities</w:t>
      </w:r>
    </w:p>
    <w:bookmarkStart w:id="26" w:name="current-challenges"/>
    <w:p>
      <w:pPr>
        <w:pStyle w:val="Heading3"/>
      </w:pPr>
      <w:r>
        <w:t xml:space="preserve">Current Challenges</w:t>
      </w:r>
    </w:p>
    <w:p>
      <w:pPr>
        <w:numPr>
          <w:ilvl w:val="0"/>
          <w:numId w:val="1003"/>
        </w:numPr>
        <w:pStyle w:val="Compact"/>
      </w:pPr>
      <w:r>
        <w:rPr>
          <w:bCs/>
          <w:b/>
        </w:rPr>
        <w:t xml:space="preserve">Cultural Nuance:</w:t>
      </w:r>
      <w:r>
        <w:t xml:space="preserve"> </w:t>
      </w:r>
      <w:r>
        <w:t xml:space="preserve">Traditional sales tactics fail when Academic Researchers perceive solutions as disconnected from Medellín's sociocultural fabric.</w:t>
      </w:r>
    </w:p>
    <w:p>
      <w:pPr>
        <w:numPr>
          <w:ilvl w:val="0"/>
          <w:numId w:val="1003"/>
        </w:numPr>
        <w:pStyle w:val="Compact"/>
      </w:pPr>
      <w:r>
        <w:rPr>
          <w:bCs/>
          <w:b/>
        </w:rPr>
        <w:t xml:space="preserve">Resource Constraints:</w:t>
      </w:r>
      <w:r>
        <w:t xml:space="preserve"> </w:t>
      </w:r>
      <w:r>
        <w:t xml:space="preserve">62% of university researchers operate on tight budgets despite high grant eligibility.</w:t>
      </w:r>
    </w:p>
    <w:p>
      <w:pPr>
        <w:numPr>
          <w:ilvl w:val="0"/>
          <w:numId w:val="1003"/>
        </w:numPr>
        <w:pStyle w:val="Compact"/>
      </w:pPr>
      <w:r>
        <w:rPr>
          <w:bCs/>
          <w:b/>
        </w:rPr>
        <w:t xml:space="preserve">Competition:</w:t>
      </w:r>
      <w:r>
        <w:t xml:space="preserve"> </w:t>
      </w:r>
      <w:r>
        <w:t xml:space="preserve">Local academic startups offering "free" tools erode premium solution adoption (28% of lost opportunities).</w:t>
      </w:r>
    </w:p>
    <w:bookmarkEnd w:id="26"/>
    <w:bookmarkStart w:id="27" w:name="X80c77918e7d35ebe680acf4fb1f0929ddac605c"/>
    <w:p>
      <w:pPr>
        <w:pStyle w:val="Heading3"/>
      </w:pPr>
      <w:r>
        <w:t xml:space="preserve">New Opportunity: Medellín's Research Ecosystem Integration</w:t>
      </w:r>
    </w:p>
    <w:p>
      <w:pPr>
        <w:pStyle w:val="FirstParagraph"/>
      </w:pPr>
      <w:r>
        <w:t xml:space="preserve">The city's new Medellín Research Alliance (MRA) – a coalition of 15 universities and private entities – presents a breakthrough. Our sales team recently secured pilot inclusion for the MRA's AI-driven urban analytics platform, directly targeting Academic Researchers as primary users. This represents a scalable model where we position our solutions as essential MRA infrastructure rather than standalone products.</w:t>
      </w:r>
    </w:p>
    <w:bookmarkEnd w:id="27"/>
    <w:bookmarkEnd w:id="28"/>
    <w:bookmarkStart w:id="29" w:name="X4cbb85125f4a4a83460166f4ad92702ad48be2d"/>
    <w:p>
      <w:pPr>
        <w:pStyle w:val="Heading2"/>
      </w:pPr>
      <w:r>
        <w:t xml:space="preserve">VI. Recommendations for Colombia Medellín Sales Strategy</w:t>
      </w:r>
    </w:p>
    <w:p>
      <w:pPr>
        <w:numPr>
          <w:ilvl w:val="0"/>
          <w:numId w:val="1004"/>
        </w:numPr>
        <w:pStyle w:val="Compact"/>
      </w:pPr>
      <w:r>
        <w:rPr>
          <w:bCs/>
          <w:b/>
        </w:rPr>
        <w:t xml:space="preserve">Localized Solution Packaging:</w:t>
      </w:r>
      <w:r>
        <w:t xml:space="preserve"> </w:t>
      </w:r>
      <w:r>
        <w:t xml:space="preserve">Develop "Medellín Impact Packages" bundling products with municipal collaboration frameworks (e.g., water quality tools + partnership with Medellín Water Authority).</w:t>
      </w:r>
    </w:p>
    <w:p>
      <w:pPr>
        <w:numPr>
          <w:ilvl w:val="0"/>
          <w:numId w:val="1004"/>
        </w:numPr>
        <w:pStyle w:val="Compact"/>
      </w:pPr>
      <w:r>
        <w:rPr>
          <w:bCs/>
          <w:b/>
        </w:rPr>
        <w:t xml:space="preserve">Academic Researcher Ambassador Program:</w:t>
      </w:r>
      <w:r>
        <w:t xml:space="preserve"> </w:t>
      </w:r>
      <w:r>
        <w:t xml:space="preserve">Recruit 10+ leading Academic Researchers as solution advocates; their endorsements drive 3.2x more conversions than traditional marketing.</w:t>
      </w:r>
    </w:p>
    <w:p>
      <w:pPr>
        <w:numPr>
          <w:ilvl w:val="0"/>
          <w:numId w:val="1004"/>
        </w:numPr>
        <w:pStyle w:val="Compact"/>
      </w:pPr>
      <w:r>
        <w:rPr>
          <w:bCs/>
          <w:b/>
        </w:rPr>
        <w:t xml:space="preserve">Grant-Focused Sales Enablement:</w:t>
      </w:r>
      <w:r>
        <w:t xml:space="preserve"> </w:t>
      </w:r>
      <w:r>
        <w:t xml:space="preserve">Create FONDECYT-specific compliance documentation for all products to address the #1 barrier for Academic Researchers.</w:t>
      </w:r>
    </w:p>
    <w:p>
      <w:pPr>
        <w:numPr>
          <w:ilvl w:val="0"/>
          <w:numId w:val="1004"/>
        </w:numPr>
        <w:pStyle w:val="Compact"/>
      </w:pPr>
      <w:r>
        <w:rPr>
          <w:bCs/>
          <w:b/>
        </w:rPr>
        <w:t xml:space="preserve">Community Engagement Integration:</w:t>
      </w:r>
      <w:r>
        <w:t xml:space="preserve"> </w:t>
      </w:r>
      <w:r>
        <w:t xml:space="preserve">Co-design solutions with Comuna 13's research collectives – turning academic projects into visible Medellín success stories.</w:t>
      </w:r>
    </w:p>
    <w:bookmarkEnd w:id="29"/>
    <w:bookmarkStart w:id="30" w:name="X7fc4ebc6d6baf64b2b698c6007443113c852d6d"/>
    <w:p>
      <w:pPr>
        <w:pStyle w:val="Heading2"/>
      </w:pPr>
      <w:r>
        <w:t xml:space="preserve">VII. Conclusion: The Future of Sales with Colombia Medellín's Academic Researchers</w:t>
      </w:r>
    </w:p>
    <w:p>
      <w:pPr>
        <w:pStyle w:val="FirstParagraph"/>
      </w:pPr>
      <w:r>
        <w:t xml:space="preserve">This Sales Report confirms that Colombia Medellín's Academic Researcher community is not merely a market segment – it is the catalyst for transformative innovation. By embedding our solutions within Medellín's research ecosystem (not just selling to individual researchers), we position ourselves as indispensable partners in the city's development narrative. The 28% Q3 growth validates our shift toward relationship-driven sales aligned with Academic Researchers' dual mission: advancing knowledge and improving urban life in Colombia Medellín.</w:t>
      </w:r>
    </w:p>
    <w:p>
      <w:pPr>
        <w:pStyle w:val="BodyText"/>
      </w:pPr>
      <w:r>
        <w:t xml:space="preserve">Looking ahead, we project $1.8M in annual revenue from Academic Researchers across Medellín by Q4 2024 through the implementation of these strategies. Success will be measured not just by sales figures, but by the number of solutions directly contributing to Medellín's goals – including reducing urban inequality (UN SDG 10) and advancing green innovation (Colombia National Development Plan 2023-2026). The Academic Researcher in Colombia Medellín has evolved into a pivotal agent of change; our Sales Report reaffirms that the most successful sales strategies will be those that empower them to succeed.</w:t>
      </w:r>
    </w:p>
    <w:p>
      <w:pPr>
        <w:pStyle w:val="BodyText"/>
      </w:pPr>
      <w:r>
        <w:rPr>
          <w:bCs/>
          <w:b/>
        </w:rPr>
        <w:t xml:space="preserve">Prepared By:</w:t>
      </w:r>
      <w:r>
        <w:t xml:space="preserve"> </w:t>
      </w:r>
      <w:r>
        <w:t xml:space="preserve">Carlos Mendoza, Regional Sales Director</w:t>
      </w:r>
      <w:r>
        <w:br/>
      </w:r>
      <w:r>
        <w:rPr>
          <w:bCs/>
          <w:b/>
        </w:rPr>
        <w:t xml:space="preserve">Contact:</w:t>
      </w:r>
      <w:r>
        <w:t xml:space="preserve"> </w:t>
      </w:r>
      <w:r>
        <w:t xml:space="preserve">carlos.mendoza@researchsolutions.com | +57 4 230 5678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Market Analysis in Colombia Medellín</dc:title>
  <dc:creator/>
  <dc:language>en</dc:language>
  <cp:keywords/>
  <dcterms:created xsi:type="dcterms:W3CDTF">2026-07-24T08:51:03Z</dcterms:created>
  <dcterms:modified xsi:type="dcterms:W3CDTF">2026-07-24T08:51:03Z</dcterms:modified>
</cp:coreProperties>
</file>

<file path=docProps/custom.xml><?xml version="1.0" encoding="utf-8"?>
<Properties xmlns="http://schemas.openxmlformats.org/officeDocument/2006/custom-properties" xmlns:vt="http://schemas.openxmlformats.org/officeDocument/2006/docPropsVTypes"/>
</file>