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Alexandria</w:t>
      </w:r>
    </w:p>
    <w:bookmarkStart w:id="32" w:name="X87007e969b7119859a81a339c5a4adfb74bb71b"/>
    <w:p>
      <w:pPr>
        <w:pStyle w:val="Heading1"/>
      </w:pPr>
      <w:r>
        <w:t xml:space="preserve">Sales Report: Academic Researcher Performance in Egypt Alexandria (Q1-Q4 2023)</w:t>
      </w:r>
    </w:p>
    <w:bookmarkStart w:id="20" w:name="prepared-for"/>
    <w:p>
      <w:pPr>
        <w:pStyle w:val="Heading2"/>
      </w:pPr>
      <w:r>
        <w:t xml:space="preserve">Prepared For:</w:t>
      </w:r>
    </w:p>
    <w:p>
      <w:pPr>
        <w:pStyle w:val="FirstParagraph"/>
      </w:pPr>
      <w:r>
        <w:t xml:space="preserve">Egyptian Ministry of Higher Education &amp; Scientific Research, Alexandria Regional Office</w:t>
      </w:r>
    </w:p>
    <w:bookmarkEnd w:id="20"/>
    <w:bookmarkStart w:id="31" w:name="prepared-by"/>
    <w:p>
      <w:pPr>
        <w:pStyle w:val="Heading2"/>
      </w:pPr>
      <w:r>
        <w:t xml:space="preserve">Prepared By:</w:t>
      </w:r>
    </w:p>
    <w:p>
      <w:pPr>
        <w:pStyle w:val="FirstParagraph"/>
      </w:pPr>
      <w:r>
        <w:t xml:space="preserve">Dr. Amira Hassan, Senior Academic Researcher (Biomedical Innovation Division)</w:t>
      </w:r>
    </w:p>
    <w:p>
      <w:r>
        <w:pict>
          <v:rect style="width:0;height:1.5pt" o:hralign="center" o:hrstd="t" o:hr="t"/>
        </w:pict>
      </w:r>
    </w:p>
    <w:bookmarkStart w:id="21" w:name="i.-executive-summary"/>
    <w:p>
      <w:pPr>
        <w:pStyle w:val="Heading3"/>
      </w:pPr>
      <w:r>
        <w:t xml:space="preserve">I. Executive Summary</w:t>
      </w:r>
    </w:p>
    <w:p>
      <w:pPr>
        <w:pStyle w:val="FirstParagraph"/>
      </w:pPr>
      <w:r>
        <w:t xml:space="preserve">This Sales Report details the performance of Academic Researcher Dr. Amira Hassan within Egypt Alexandria's academic ecosystem during the 2023 fiscal year. As a pivotal figure in Alexandria's research landscape, this report demonstrates how strategic sales initiatives—focused on securing research funding, institutional partnerships, and technology commercialization—have driven tangible growth for both the University of Alexandria and national scientific priorities. The results reflect exceptional achievement in converting academic expertise into measurable economic and social impact within Egypt Alexandria's unique context.</w:t>
      </w:r>
    </w:p>
    <w:bookmarkEnd w:id="21"/>
    <w:bookmarkStart w:id="22" w:name="Xadfb7da522eefc2db16a1776e0d11acbb42c8a0"/>
    <w:p>
      <w:pPr>
        <w:pStyle w:val="Heading3"/>
      </w:pPr>
      <w:r>
        <w:t xml:space="preserve">II. Context: Academic Researcher Role in Egypt Alexandria</w:t>
      </w:r>
    </w:p>
    <w:p>
      <w:pPr>
        <w:pStyle w:val="FirstParagraph"/>
      </w:pPr>
      <w:r>
        <w:t xml:space="preserve">In Egypt Alexandria, Academic Researchers operate at the intersection of scholarly excellence and practical application. Unlike traditional research models, our sales approach centers on "selling" innovative solutions to regional challenges—water desalination, sustainable agriculture in the Mediterranean coastal zone, and pharmaceutical development using local botanical resources. This Sales Report quantifies how this specialized commercialization mindset has transformed academic output into tangible value for Alexandria's economy and community.</w:t>
      </w:r>
    </w:p>
    <w:bookmarkEnd w:id="22"/>
    <w:bookmarkStart w:id="23" w:name="Xb3f2dcb5a256c3dd6a9a0f03f6a98bf3a0796bf"/>
    <w:p>
      <w:pPr>
        <w:pStyle w:val="Heading3"/>
      </w:pPr>
      <w:r>
        <w:t xml:space="preserve">III. Key Performance Metrics (Egypt Alexandria Focus)</w:t>
      </w:r>
    </w:p>
    <w:p>
      <w:pPr>
        <w:pStyle w:val="FirstParagraph"/>
      </w:pPr>
      <w:r>
        <w:t xml:space="preserve">KPI</w:t>
      </w:r>
    </w:p>
    <w:p>
      <w:pPr>
        <w:pStyle w:val="BodyText"/>
      </w:pPr>
      <w:r>
        <w:t xml:space="preserve">2022 Actual</w:t>
      </w:r>
    </w:p>
    <w:p>
      <w:pPr>
        <w:pStyle w:val="BodyText"/>
      </w:pPr>
      <w:r>
        <w:t xml:space="preserve">2023 Target</w:t>
      </w:r>
    </w:p>
    <w:p>
      <w:pPr>
        <w:pStyle w:val="BodyText"/>
      </w:pPr>
      <w:r>
        <w:t xml:space="preserve">2023 Actual</w:t>
      </w:r>
    </w:p>
    <w:p>
      <w:pPr>
        <w:pStyle w:val="BodyText"/>
      </w:pPr>
      <w:r>
        <w:t xml:space="preserve">Delta (+/-)</w:t>
      </w:r>
    </w:p>
    <w:p>
      <w:pPr>
        <w:pStyle w:val="BodyText"/>
      </w:pPr>
      <w:r>
        <w:t xml:space="preserve">Funding Secured (EGP)</w:t>
      </w:r>
    </w:p>
    <w:p>
      <w:pPr>
        <w:pStyle w:val="BodyText"/>
      </w:pPr>
      <w:r>
        <w:t xml:space="preserve">8.7M</w:t>
      </w:r>
    </w:p>
    <w:p>
      <w:pPr>
        <w:pStyle w:val="BodyText"/>
      </w:pPr>
      <w:r>
        <w:t xml:space="preserve">15.5M</w:t>
      </w:r>
    </w:p>
    <w:p>
      <w:pPr>
        <w:pStyle w:val="BodyText"/>
      </w:pPr>
      <w:r>
        <w:t xml:space="preserve">18.4M</w:t>
      </w:r>
    </w:p>
    <w:p>
      <w:pPr>
        <w:pStyle w:val="BodyText"/>
      </w:pPr>
      <w:r>
        <w:t xml:space="preserve">+20% over target</w:t>
      </w:r>
    </w:p>
    <w:p>
      <w:pPr>
        <w:pStyle w:val="BodyText"/>
      </w:pPr>
      <w:r>
        <w:t xml:space="preserve">New Industry Partnerships (Alexandria-Based)</w:t>
      </w:r>
    </w:p>
    <w:p>
      <w:pPr>
        <w:pStyle w:val="BodyText"/>
      </w:pPr>
      <w:r>
        <w:t xml:space="preserve">3</w:t>
      </w:r>
    </w:p>
    <w:p>
      <w:pPr>
        <w:pStyle w:val="BodyText"/>
      </w:pPr>
      <w:r>
        <w:t xml:space="preserve">6</w:t>
      </w:r>
    </w:p>
    <w:p>
      <w:pPr>
        <w:pStyle w:val="BodyText"/>
      </w:pPr>
      <w:r>
        <w:t xml:space="preserve">8</w:t>
      </w:r>
    </w:p>
    <w:p>
      <w:pPr>
        <w:pStyle w:val="BodyText"/>
      </w:pPr>
      <w:r>
        <w:t xml:space="preserve">Research Output Commercialized (Patents/Products)</w:t>
      </w:r>
    </w:p>
    <w:p>
      <w:pPr>
        <w:pStyle w:val="BodyText"/>
      </w:pPr>
      <w:r>
        <w:t xml:space="preserve">1.2</w:t>
      </w:r>
    </w:p>
    <w:p>
      <w:pPr>
        <w:pStyle w:val="BodyText"/>
      </w:pPr>
      <w:r>
        <w:t xml:space="preserve">3.0</w:t>
      </w:r>
    </w:p>
    <w:p>
      <w:pPr>
        <w:pStyle w:val="BodyText"/>
      </w:pPr>
      <w:r>
        <w:t xml:space="preserve">4.5</w:t>
      </w:r>
    </w:p>
    <w:p>
      <w:pPr>
        <w:pStyle w:val="BodyText"/>
      </w:pPr>
      <w:r>
        <w:t xml:space="preserve">Critical Insight: The 2023 sales performance exceeded targets by 20% primarily through strategic alignment with Alexandria's 2030 Vision for coastal economic development—particularly securing contracts with local industries like Al-Ahly Desalination and Pharos Pharmaceutical.</w:t>
      </w:r>
    </w:p>
    <w:bookmarkEnd w:id="23"/>
    <w:bookmarkStart w:id="27" w:name="Xdf6a69b521666ce7264625af7bded5f16a65182"/>
    <w:p>
      <w:pPr>
        <w:pStyle w:val="Heading3"/>
      </w:pPr>
      <w:r>
        <w:t xml:space="preserve">IV. Sales Strategy Breakdown: Egypt Alexandria Case Studies</w:t>
      </w:r>
    </w:p>
    <w:bookmarkStart w:id="24" w:name="X5113b2aa6d2a4e29c1f1459e87848fee22b4b3f"/>
    <w:p>
      <w:pPr>
        <w:pStyle w:val="Heading4"/>
      </w:pPr>
      <w:r>
        <w:t xml:space="preserve">A. Water Security Initiative (Alexandria Coastal Zone)</w:t>
      </w:r>
    </w:p>
    <w:p>
      <w:pPr>
        <w:pStyle w:val="FirstParagraph"/>
      </w:pPr>
      <w:r>
        <w:rPr>
          <w:bCs/>
          <w:b/>
        </w:rPr>
        <w:t xml:space="preserve">Sales Achievement:</w:t>
      </w:r>
      <w:r>
        <w:t xml:space="preserve"> </w:t>
      </w:r>
      <w:r>
        <w:t xml:space="preserve">Secured 9.2M EGP contract with Alexandria Governorate for "Solar-Powered Desalination Systems for Coastal Communities." This Academic Researcher-led project directly addresses Egypt's national water crisis while creating 15 local technical jobs.</w:t>
      </w:r>
    </w:p>
    <w:p>
      <w:pPr>
        <w:pStyle w:val="BodyText"/>
      </w:pPr>
      <w:r>
        <w:rPr>
          <w:bCs/>
          <w:b/>
        </w:rPr>
        <w:t xml:space="preserve">Why it Sold in Alexandria:</w:t>
      </w:r>
      <w:r>
        <w:t xml:space="preserve"> </w:t>
      </w:r>
      <w:r>
        <w:t xml:space="preserve">Presented solution as part of Alexandria's Coastal Protection Strategy. Used data showing how existing infrastructure (e.g., Montazah Gardens area) could integrate with the technology, reducing deployment costs by 32% compared to competing proposals.</w:t>
      </w:r>
    </w:p>
    <w:bookmarkEnd w:id="24"/>
    <w:bookmarkStart w:id="25" w:name="X1445324700fa8dfe09e0b36c3469e1d13dfe2f2"/>
    <w:p>
      <w:pPr>
        <w:pStyle w:val="Heading4"/>
      </w:pPr>
      <w:r>
        <w:t xml:space="preserve">B. Medicinal Plant Commercialization (Alexandria Botanical Garden)</w:t>
      </w:r>
    </w:p>
    <w:p>
      <w:pPr>
        <w:pStyle w:val="FirstParagraph"/>
      </w:pPr>
      <w:r>
        <w:rPr>
          <w:bCs/>
          <w:b/>
        </w:rPr>
        <w:t xml:space="preserve">Sales Achievement:</w:t>
      </w:r>
      <w:r>
        <w:t xml:space="preserve"> </w:t>
      </w:r>
      <w:r>
        <w:t xml:space="preserve">Partnered with Pharos Pharmaceutical (Alexandria) to develop a marketable antimalarial compound from local *Capparis spinosa* plants. Generated 3.8M EGP in initial licensing revenue.</w:t>
      </w:r>
    </w:p>
    <w:p>
      <w:pPr>
        <w:pStyle w:val="BodyText"/>
      </w:pPr>
      <w:r>
        <w:rPr>
          <w:bCs/>
          <w:b/>
        </w:rPr>
        <w:t xml:space="preserve">Academic Researcher Differentiation:</w:t>
      </w:r>
      <w:r>
        <w:t xml:space="preserve"> </w:t>
      </w:r>
      <w:r>
        <w:t xml:space="preserve">Unlike typical university proposals, this Sales Report emphasized "Egypt Alexandria's unique biodiversity advantage" and included a pilot feasibility study conducted at the Alexandria Botanical Garden—proving local resource viability to investors.</w:t>
      </w:r>
    </w:p>
    <w:bookmarkEnd w:id="25"/>
    <w:bookmarkStart w:id="26" w:name="c.-university-industry-training-program"/>
    <w:p>
      <w:pPr>
        <w:pStyle w:val="Heading4"/>
      </w:pPr>
      <w:r>
        <w:t xml:space="preserve">C. University-Industry Training Program</w:t>
      </w:r>
    </w:p>
    <w:p>
      <w:pPr>
        <w:pStyle w:val="FirstParagraph"/>
      </w:pPr>
      <w:r>
        <w:rPr>
          <w:bCs/>
          <w:b/>
        </w:rPr>
        <w:t xml:space="preserve">Sales Achievement:</w:t>
      </w:r>
      <w:r>
        <w:t xml:space="preserve"> </w:t>
      </w:r>
      <w:r>
        <w:t xml:space="preserve">Sold 280 training slots (at 650 EGP/seat) to Alexandria-based SMEs through the University of Alexandria's Industry Partnership Office. Total revenue: 182,000 EGP.</w:t>
      </w:r>
    </w:p>
    <w:p>
      <w:pPr>
        <w:pStyle w:val="BodyText"/>
      </w:pPr>
      <w:r>
        <w:rPr>
          <w:bCs/>
          <w:b/>
        </w:rPr>
        <w:t xml:space="preserve">Regional Impact:</w:t>
      </w:r>
      <w:r>
        <w:t xml:space="preserve"> </w:t>
      </w:r>
      <w:r>
        <w:t xml:space="preserve">Created a sustainable revenue stream while addressing Alexandria's skills gap in biotechnology—a key priority for the Governorate's Economic Development Plan 2023-25.</w:t>
      </w:r>
    </w:p>
    <w:bookmarkEnd w:id="26"/>
    <w:bookmarkEnd w:id="27"/>
    <w:bookmarkStart w:id="28" w:name="X97fd9e219cf3dc980bebdd5b845c66e58a7abf1"/>
    <w:p>
      <w:pPr>
        <w:pStyle w:val="Heading3"/>
      </w:pPr>
      <w:r>
        <w:t xml:space="preserve">V. Challenges &amp; Solutions: Navigating Egypt Alexandria's Unique Environment</w:t>
      </w:r>
    </w:p>
    <w:p>
      <w:pPr>
        <w:pStyle w:val="FirstParagraph"/>
      </w:pPr>
      <w:r>
        <w:t xml:space="preserve">Challenge</w:t>
      </w:r>
    </w:p>
    <w:p>
      <w:pPr>
        <w:pStyle w:val="BodyText"/>
      </w:pPr>
      <w:r>
        <w:t xml:space="preserve">Solution Implemented (by Academic Researcher)</w:t>
      </w:r>
    </w:p>
    <w:p>
      <w:pPr>
        <w:pStyle w:val="BodyText"/>
      </w:pPr>
      <w:r>
        <w:t xml:space="preserve">Result in Egypt Alexandria Context</w:t>
      </w:r>
    </w:p>
    <w:p>
      <w:pPr>
        <w:pStyle w:val="BodyText"/>
      </w:pPr>
      <w:r>
        <w:t xml:space="preserve">Limited Local R&amp;D Funding Pool</w:t>
      </w:r>
    </w:p>
    <w:p>
      <w:pPr>
        <w:pStyle w:val="BodyText"/>
      </w:pPr>
      <w:r>
        <w:t xml:space="preserve">Developed blended financing model: 40% Ministry grant + 30% University match + 30% Industry co-investment</w:t>
      </w:r>
    </w:p>
    <w:p>
      <w:pPr>
        <w:pStyle w:val="BodyText"/>
      </w:pPr>
      <w:r>
        <w:t xml:space="preserve">Increased average contract size by 67% vs. standard grants</w:t>
      </w:r>
    </w:p>
    <w:p>
      <w:pPr>
        <w:pStyle w:val="BodyText"/>
      </w:pPr>
      <w:r>
        <w:t xml:space="preserve">Cultural Hesitancy to Commercialize Academia</w:t>
      </w:r>
    </w:p>
    <w:p>
      <w:pPr>
        <w:pStyle w:val="BodyText"/>
      </w:pPr>
      <w:r>
        <w:t xml:space="preserve">Hosted "Innovation Showcases" at Alexandria's Al-Hikma Cultural Center featuring local success stories (e.g., Nile Delta aquaculture startup)</w:t>
      </w:r>
    </w:p>
    <w:p>
      <w:pPr>
        <w:pStyle w:val="BodyText"/>
      </w:pPr>
      <w:r>
        <w:t xml:space="preserve">50% rise in industry inquiries from Alexandria businesses</w:t>
      </w:r>
    </w:p>
    <w:p>
      <w:pPr>
        <w:pStyle w:val="BodyText"/>
      </w:pPr>
      <w:r>
        <w:t xml:space="preserve">Coupled research with infrastructure partners like Alexandria Port Authority for logistics support</w:t>
      </w:r>
    </w:p>
    <w:p>
      <w:pPr>
        <w:pStyle w:val="BodyText"/>
      </w:pPr>
      <w:r>
        <w:t xml:space="preserve">Reduced project implementation timelines by 28%</w:t>
      </w:r>
    </w:p>
    <w:bookmarkEnd w:id="28"/>
    <w:bookmarkStart w:id="29" w:name="X51582cf78ee6342b1e5927d88c017379cb648ff"/>
    <w:p>
      <w:pPr>
        <w:pStyle w:val="Heading3"/>
      </w:pPr>
      <w:r>
        <w:t xml:space="preserve">VI. Future Sales Strategy: Egypt Alexandria Growth Plan (2024)</w:t>
      </w:r>
    </w:p>
    <w:p>
      <w:pPr>
        <w:pStyle w:val="FirstParagraph"/>
      </w:pPr>
      <w:r>
        <w:t xml:space="preserve">This Academic Researcher's pipeline prioritizes three high-impact corridors aligned with Egypt Alexandria's strategic assets:</w:t>
      </w:r>
    </w:p>
    <w:p>
      <w:pPr>
        <w:numPr>
          <w:ilvl w:val="0"/>
          <w:numId w:val="1001"/>
        </w:numPr>
        <w:pStyle w:val="Compact"/>
      </w:pPr>
      <w:r>
        <w:rPr>
          <w:bCs/>
          <w:b/>
        </w:rPr>
        <w:t xml:space="preserve">Mediterranean Blue Economy:</w:t>
      </w:r>
      <w:r>
        <w:t xml:space="preserve"> </w:t>
      </w:r>
      <w:r>
        <w:t xml:space="preserve">Targeting EU Horizon Europe grants for marine biotechnology—leveraging Alexandria's 200km coastline and the newly established Mediterranean Sea Research Center (MSRC) as a sales anchor.</w:t>
      </w:r>
    </w:p>
    <w:p>
      <w:pPr>
        <w:numPr>
          <w:ilvl w:val="0"/>
          <w:numId w:val="1001"/>
        </w:numPr>
        <w:pStyle w:val="Compact"/>
      </w:pPr>
      <w:r>
        <w:rPr>
          <w:bCs/>
          <w:b/>
        </w:rPr>
        <w:t xml:space="preserve">Smart Agriculture Pilot:</w:t>
      </w:r>
      <w:r>
        <w:t xml:space="preserve"> </w:t>
      </w:r>
      <w:r>
        <w:t xml:space="preserve">Proposing an "Alexandria Food Tech Hub" to sell precision farming solutions to coastal farmers, using University of Alexandria's AgriLab as the demonstration site.</w:t>
      </w:r>
    </w:p>
    <w:p>
      <w:pPr>
        <w:numPr>
          <w:ilvl w:val="0"/>
          <w:numId w:val="1001"/>
        </w:numPr>
        <w:pStyle w:val="Compact"/>
      </w:pPr>
      <w:r>
        <w:rPr>
          <w:bCs/>
          <w:b/>
        </w:rPr>
        <w:t xml:space="preserve">Digital Health Export Program:</w:t>
      </w:r>
      <w:r>
        <w:t xml:space="preserve"> </w:t>
      </w:r>
      <w:r>
        <w:t xml:space="preserve">Packaging AI diagnostic tools developed in Alexandria for sale to African nations—addressing a $2.1B regional market opportunity.</w:t>
      </w:r>
    </w:p>
    <w:p>
      <w:pPr>
        <w:pStyle w:val="FirstParagraph"/>
      </w:pPr>
      <w:r>
        <w:t xml:space="preserve">Projected 2024 Sales Impact: 35M EGP funding secured, 14 new Alexandria-based partnerships, and 3 commercialized products entering the Egyptian market.</w:t>
      </w:r>
    </w:p>
    <w:bookmarkEnd w:id="29"/>
    <w:bookmarkStart w:id="30" w:name="Xd96b4ca099b58c1eaf1291b63030dcf4db2d0aa"/>
    <w:p>
      <w:pPr>
        <w:pStyle w:val="Heading3"/>
      </w:pPr>
      <w:r>
        <w:t xml:space="preserve">VII. Conclusion: The Academic Researcher as Regional Economic Catalyst</w:t>
      </w:r>
    </w:p>
    <w:p>
      <w:pPr>
        <w:pStyle w:val="FirstParagraph"/>
      </w:pPr>
      <w:r>
        <w:t xml:space="preserve">This Sales Report underscores that in Egypt Alexandria's dynamic academic landscape, success as an Academic Researcher transcends traditional publication metrics. It requires translating scholarly excellence into compelling economic propositions tailored to Alexandria's coastal geography, cultural context, and strategic development goals. The 2023 results prove that by treating research outputs as marketable assets—rather than just academic products—we have generated sustainable revenue streams that directly fund further innovation while creating local jobs and solving community challenges.</w:t>
      </w:r>
    </w:p>
    <w:p>
      <w:pPr>
        <w:pStyle w:val="BodyText"/>
      </w:pPr>
      <w:r>
        <w:t xml:space="preserve">Looking ahead, this Academic Researcher commits to deepening Alexandria's role in Egypt's national knowledge economy. The 2024 sales strategy will position the University of Alexandria not merely as a research institution, but as a trusted economic partner for regional development—proving that when academic rigor meets market insight, Egypt Alexandria becomes both the beneficiary and exemplar of transformative growth.</w:t>
      </w:r>
    </w:p>
    <w:p>
      <w:r>
        <w:pict>
          <v:rect style="width:0;height:1.5pt" o:hralign="center" o:hrstd="t" o:hr="t"/>
        </w:pict>
      </w:r>
    </w:p>
    <w:p>
      <w:pPr>
        <w:pStyle w:val="FirstParagraph"/>
      </w:pPr>
      <w:r>
        <w:rPr>
          <w:iCs/>
          <w:i/>
        </w:rPr>
        <w:t xml:space="preserve">Report Date: December 15, 2023 | Prepared by Academic Researcher Dr. Amira Hassan | University of Alexandria | For Egypt Ministry of Higher Education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Egypt Alexandria</dc:title>
  <dc:creator/>
  <dc:language>en</dc:language>
  <cp:keywords/>
  <dcterms:created xsi:type="dcterms:W3CDTF">2025-12-10T11:05:45Z</dcterms:created>
  <dcterms:modified xsi:type="dcterms:W3CDTF">2025-12-10T11:05:45Z</dcterms:modified>
</cp:coreProperties>
</file>

<file path=docProps/custom.xml><?xml version="1.0" encoding="utf-8"?>
<Properties xmlns="http://schemas.openxmlformats.org/officeDocument/2006/custom-properties" xmlns:vt="http://schemas.openxmlformats.org/officeDocument/2006/docPropsVTypes"/>
</file>