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Cairo,</w:t>
      </w:r>
      <w:r>
        <w:t xml:space="preserve"> </w:t>
      </w:r>
      <w:r>
        <w:t xml:space="preserve">Egypt</w:t>
      </w:r>
    </w:p>
    <w:bookmarkStart w:id="30" w:name="X2a5ff2b34a8f36da3699e366ba095b5bd4ea5a0"/>
    <w:p>
      <w:pPr>
        <w:pStyle w:val="Heading1"/>
      </w:pPr>
      <w:r>
        <w:t xml:space="preserve">SALES REPORT: ACADEMIC RESEARCHER SERVICES IN CAIRO, EGYPT</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Sales Report details the performance of our Academic Researcher services across the Cairo, Egypt market for the third quarter of 2023. As a leading provider of specialized research solutions, we've witnessed remarkable growth in demand for high-caliber academic researcher services driven by Egypt's expanding higher education sector and corporate innovation ecosystem. Our Cairo-based team successfully secured 17 new contracts totaling $485,000 in Q3—representing a 28% quarterly increase and exceeding our sales targets by 15%. This growth underscores the critical value proposition of embedding certified Academic Researchers within client projects across Egypt's academic and commercial landscape.</w:t>
      </w:r>
    </w:p>
    <w:bookmarkEnd w:id="20"/>
    <w:bookmarkStart w:id="21" w:name="X633bbd653d24ad0a3f52f9fe92adf39e17d6e37"/>
    <w:p>
      <w:pPr>
        <w:pStyle w:val="Heading2"/>
      </w:pPr>
      <w:r>
        <w:t xml:space="preserve">Market Context: The Cairo Research Imperative</w:t>
      </w:r>
    </w:p>
    <w:p>
      <w:pPr>
        <w:pStyle w:val="FirstParagraph"/>
      </w:pPr>
      <w:r>
        <w:t xml:space="preserve">Cairo has emerged as Egypt's undisputed hub for academic research, home to 47 universities and 3 major research clusters (Egyptian Academy of Scientific Research, Cairo University Research Park, and Zewail City). With the government's National Strategy for Science &amp; Technology allocating $1.2 billion annually to research infrastructure (2023), local institutions urgently require independent academic expertise for grant applications, curriculum development, and industry collaboration. Our Sales Report confirms that 89% of Cairo-based clients now prioritize vendor partnerships with certified Academic Researchers—recognizing their ability to navigate Egypt's complex academic accreditation system while delivering publishable results.</w:t>
      </w:r>
    </w:p>
    <w:bookmarkEnd w:id="21"/>
    <w:bookmarkStart w:id="24" w:name="q3-sales-performance-breakdown"/>
    <w:p>
      <w:pPr>
        <w:pStyle w:val="Heading2"/>
      </w:pPr>
      <w:r>
        <w:t xml:space="preserve">Q3 Sales Performance Breakdown</w:t>
      </w:r>
    </w:p>
    <w:bookmarkStart w:id="22" w:name="contract-acquisition-highlights"/>
    <w:p>
      <w:pPr>
        <w:pStyle w:val="Heading3"/>
      </w:pPr>
      <w:r>
        <w:t xml:space="preserve">Contract Acquisition Highlights</w:t>
      </w:r>
    </w:p>
    <w:p>
      <w:pPr>
        <w:numPr>
          <w:ilvl w:val="0"/>
          <w:numId w:val="1001"/>
        </w:numPr>
        <w:pStyle w:val="Compact"/>
      </w:pPr>
      <w:r>
        <w:rPr>
          <w:bCs/>
          <w:b/>
        </w:rPr>
        <w:t xml:space="preserve">New Institutional Contracts:</w:t>
      </w:r>
      <w:r>
        <w:t xml:space="preserve"> </w:t>
      </w:r>
      <w:r>
        <w:t xml:space="preserve">12 contracts with Cairo University, American University in Cairo (AUC), and Al-Azhar University totaling $312,000</w:t>
      </w:r>
    </w:p>
    <w:p>
      <w:pPr>
        <w:numPr>
          <w:ilvl w:val="0"/>
          <w:numId w:val="1001"/>
        </w:numPr>
        <w:pStyle w:val="Compact"/>
      </w:pPr>
      <w:r>
        <w:rPr>
          <w:bCs/>
          <w:b/>
        </w:rPr>
        <w:t xml:space="preserve">Corporate Research Projects:</w:t>
      </w:r>
      <w:r>
        <w:t xml:space="preserve"> </w:t>
      </w:r>
      <w:r>
        <w:t xml:space="preserve">5 contracts with multinational firms (SABIC Egypt, Unilever MENA) for market analysis and sustainability research ($173,000)</w:t>
      </w:r>
    </w:p>
    <w:p>
      <w:pPr>
        <w:numPr>
          <w:ilvl w:val="0"/>
          <w:numId w:val="1001"/>
        </w:numPr>
        <w:pStyle w:val="Compact"/>
      </w:pPr>
      <w:r>
        <w:rPr>
          <w:bCs/>
          <w:b/>
        </w:rPr>
        <w:t xml:space="preserve">National Project Partnerships:</w:t>
      </w:r>
      <w:r>
        <w:t xml:space="preserve"> </w:t>
      </w:r>
      <w:r>
        <w:t xml:space="preserve">Secured $225,000 in Egyptian Ministry of Higher Education-funded projects through Academic Researcher-led proposals</w:t>
      </w:r>
    </w:p>
    <w:bookmarkEnd w:id="22"/>
    <w:bookmarkStart w:id="23" w:name="sales-growth-drivers-in-cairo"/>
    <w:p>
      <w:pPr>
        <w:pStyle w:val="Heading3"/>
      </w:pPr>
      <w:r>
        <w:t xml:space="preserve">Sales Growth Drivers in Cairo</w:t>
      </w:r>
    </w:p>
    <w:p>
      <w:pPr>
        <w:pStyle w:val="FirstParagraph"/>
      </w:pPr>
      <w:r>
        <w:t xml:space="preserve">Our Q3 success directly correlates with strategic positioning as a provider of Egypt-focused Academic Researchers. Key factors include:</w:t>
      </w:r>
    </w:p>
    <w:p>
      <w:pPr>
        <w:numPr>
          <w:ilvl w:val="0"/>
          <w:numId w:val="1002"/>
        </w:numPr>
        <w:pStyle w:val="Compact"/>
      </w:pPr>
      <w:r>
        <w:rPr>
          <w:bCs/>
          <w:b/>
        </w:rPr>
        <w:t xml:space="preserve">Local Expertise Requirement:</w:t>
      </w:r>
      <w:r>
        <w:t xml:space="preserve"> </w:t>
      </w:r>
      <w:r>
        <w:t xml:space="preserve">92% of Cairo clients mandated Arabic-speaking researchers with Egypt-specific academic credentials (e.g., Egyptian Academy certification, local university partnerships).</w:t>
      </w:r>
    </w:p>
    <w:p>
      <w:pPr>
        <w:numPr>
          <w:ilvl w:val="0"/>
          <w:numId w:val="1002"/>
        </w:numPr>
        <w:pStyle w:val="Compact"/>
      </w:pPr>
      <w:r>
        <w:rPr>
          <w:bCs/>
          <w:b/>
        </w:rPr>
        <w:t xml:space="preserve">Compliance Advantage:</w:t>
      </w:r>
      <w:r>
        <w:t xml:space="preserve"> </w:t>
      </w:r>
      <w:r>
        <w:t xml:space="preserve">Academic Researchers certified in Egyptian Research Ethics Standards reduced client compliance risks by 67% compared to international vendor teams.</w:t>
      </w:r>
    </w:p>
    <w:p>
      <w:pPr>
        <w:numPr>
          <w:ilvl w:val="0"/>
          <w:numId w:val="1002"/>
        </w:numPr>
        <w:pStyle w:val="Compact"/>
      </w:pPr>
      <w:r>
        <w:rPr>
          <w:bCs/>
          <w:b/>
        </w:rPr>
        <w:t xml:space="preserve">Grants Success Rate:</w:t>
      </w:r>
      <w:r>
        <w:t xml:space="preserve"> </w:t>
      </w:r>
      <w:r>
        <w:t xml:space="preserve">Projects led by our Cairo-based Academic Researchers achieved 43% higher grant approval rates from Egyptian funding bodies (vs. industry average of 28%).</w:t>
      </w:r>
    </w:p>
    <w:bookmarkEnd w:id="23"/>
    <w:bookmarkEnd w:id="24"/>
    <w:bookmarkStart w:id="25" w:name="academic-researcher-impact-analysis"/>
    <w:p>
      <w:pPr>
        <w:pStyle w:val="Heading2"/>
      </w:pPr>
      <w:r>
        <w:t xml:space="preserve">Academic Researcher Impact Analysis</w:t>
      </w:r>
    </w:p>
    <w:p>
      <w:pPr>
        <w:pStyle w:val="FirstParagraph"/>
      </w:pPr>
      <w:r>
        <w:t xml:space="preserve">The centrality of the Academic Researcher role in our sales strategy is undeniable. Unlike generic research firms, we position certified Academic Researchers as strategic assets—not just service providers. In Cairo's market, this distinction has proven critical:</w:t>
      </w:r>
    </w:p>
    <w:p>
      <w:pPr>
        <w:pStyle w:val="BodyText"/>
      </w:pPr>
      <w:r>
        <w:rPr>
          <w:bCs/>
          <w:b/>
        </w:rPr>
        <w:t xml:space="preserve">Case Study: AUC Medical Innovation Project</w:t>
      </w:r>
      <w:r>
        <w:t xml:space="preserve"> </w:t>
      </w:r>
      <w:r>
        <w:t xml:space="preserve">Our Cairo-based Academic Researcher (Dr. Layla Hassan, PhD in Biomedical Engineering from Cairo University) secured a $180,000 contract by demonstrating understanding of Egypt's National Health Strategy. She tailored research methodologies to align with Ministry of Health protocols and local patient data privacy regulations—factors that caused competitors' proposals to fail compliance checks. This project generated $267,000 in follow-on sales within 9 months.</w:t>
      </w:r>
    </w:p>
    <w:p>
      <w:pPr>
        <w:pStyle w:val="BodyText"/>
      </w:pPr>
      <w:r>
        <w:rPr>
          <w:bCs/>
          <w:b/>
        </w:rPr>
        <w:t xml:space="preserve">Client Testimonial Integration:</w:t>
      </w:r>
      <w:r>
        <w:t xml:space="preserve"> </w:t>
      </w:r>
      <w:r>
        <w:t xml:space="preserve">"Working with your Academic Researcher was transformative. Dr. Hassan's knowledge of Cairo University's accreditation requirements saved us 3 months in grant preparation time." — Head of Research, American University in Cairo</w:t>
      </w:r>
    </w:p>
    <w:bookmarkEnd w:id="25"/>
    <w:bookmarkStart w:id="26" w:name="X5de236537aa0d0102c51c733f3506a7fef9709c"/>
    <w:p>
      <w:pPr>
        <w:pStyle w:val="Heading2"/>
      </w:pPr>
      <w:r>
        <w:t xml:space="preserve">Challenges &amp; Strategic Adjustments (Cairo Focus)</w:t>
      </w:r>
    </w:p>
    <w:p>
      <w:pPr>
        <w:pStyle w:val="FirstParagraph"/>
      </w:pPr>
      <w:r>
        <w:t xml:space="preserve">Despite strong growth, our Cairo market analysis reveals two key challenges requiring immediate attention:</w:t>
      </w:r>
    </w:p>
    <w:p>
      <w:pPr>
        <w:numPr>
          <w:ilvl w:val="0"/>
          <w:numId w:val="1003"/>
        </w:numPr>
        <w:pStyle w:val="Compact"/>
      </w:pPr>
      <w:r>
        <w:rPr>
          <w:bCs/>
          <w:b/>
        </w:rPr>
        <w:t xml:space="preserve">Competitive Pressure:</w:t>
      </w:r>
      <w:r>
        <w:t xml:space="preserve"> </w:t>
      </w:r>
      <w:r>
        <w:t xml:space="preserve">Local research consultancies undercut pricing by 18-23% but lack Academic Researcher certification. We countered this by emphasizing value-based pricing (showing 5x ROI through grant success rates).</w:t>
      </w:r>
    </w:p>
    <w:p>
      <w:pPr>
        <w:numPr>
          <w:ilvl w:val="0"/>
          <w:numId w:val="1003"/>
        </w:numPr>
        <w:pStyle w:val="Compact"/>
      </w:pPr>
      <w:r>
        <w:rPr>
          <w:bCs/>
          <w:b/>
        </w:rPr>
        <w:t xml:space="preserve">Cultural Alignment Gap:</w:t>
      </w:r>
      <w:r>
        <w:t xml:space="preserve"> </w:t>
      </w:r>
      <w:r>
        <w:t xml:space="preserve">Initial proposals failed to reference Egypt's new academic credit system (NCE). Our Sales Report now mandates all Cairo pitches include "Egypt Academic Framework" alignment statements.</w:t>
      </w:r>
    </w:p>
    <w:p>
      <w:pPr>
        <w:pStyle w:val="FirstParagraph"/>
      </w:pPr>
      <w:r>
        <w:t xml:space="preserve">Strategic adjustments implemented in Q3 have already yielded results: 100% of revised proposals now reference Egyptian research standards, increasing close rates by 22%.</w:t>
      </w:r>
    </w:p>
    <w:bookmarkEnd w:id="26"/>
    <w:bookmarkStart w:id="28" w:name="Xc404b5eab53667bfc4de78d3fb0642a3799c5bf"/>
    <w:p>
      <w:pPr>
        <w:pStyle w:val="Heading2"/>
      </w:pPr>
      <w:r>
        <w:t xml:space="preserve">Future Outlook for Academic Researcher Services in Egypt</w:t>
      </w:r>
    </w:p>
    <w:p>
      <w:pPr>
        <w:pStyle w:val="FirstParagraph"/>
      </w:pPr>
      <w:r>
        <w:t xml:space="preserve">The trajectory for Academic Researcher services in Cairo is exceptionally strong. Our Q4 forecast projects $650,000 in sales (34% growth) driven by:</w:t>
      </w:r>
    </w:p>
    <w:p>
      <w:pPr>
        <w:numPr>
          <w:ilvl w:val="0"/>
          <w:numId w:val="1004"/>
        </w:numPr>
        <w:pStyle w:val="Compact"/>
      </w:pPr>
      <w:r>
        <w:rPr>
          <w:bCs/>
          <w:b/>
        </w:rPr>
        <w:t xml:space="preserve">Government Initiatives:</w:t>
      </w:r>
      <w:r>
        <w:t xml:space="preserve"> </w:t>
      </w:r>
      <w:r>
        <w:t xml:space="preserve">New "Research Excellence" grants for Egyptian universities (expected launch Q1 2024)</w:t>
      </w:r>
    </w:p>
    <w:p>
      <w:pPr>
        <w:numPr>
          <w:ilvl w:val="0"/>
          <w:numId w:val="1004"/>
        </w:numPr>
        <w:pStyle w:val="Compact"/>
      </w:pPr>
      <w:r>
        <w:rPr>
          <w:bCs/>
          <w:b/>
        </w:rPr>
        <w:t xml:space="preserve">Talent Pipeline Expansion:</w:t>
      </w:r>
      <w:r>
        <w:t xml:space="preserve"> </w:t>
      </w:r>
      <w:r>
        <w:t xml:space="preserve">Partnerships with Cairo University to certify 50+ local researchers by year-end</w:t>
      </w:r>
    </w:p>
    <w:p>
      <w:pPr>
        <w:numPr>
          <w:ilvl w:val="0"/>
          <w:numId w:val="1004"/>
        </w:numPr>
        <w:pStyle w:val="Compact"/>
      </w:pPr>
      <w:r>
        <w:rPr>
          <w:bCs/>
          <w:b/>
        </w:rPr>
        <w:t xml:space="preserve">Cairo Tech Ecosystem Growth:</w:t>
      </w:r>
      <w:r>
        <w:t xml:space="preserve"> </w:t>
      </w:r>
      <w:r>
        <w:t xml:space="preserve">Surging demand from startups at Cairo Innovation Hub for academic-validated market research</w:t>
      </w:r>
    </w:p>
    <w:bookmarkStart w:id="27" w:name="X0c7292d9d82e75c107f842cb996e03c49a37f4a"/>
    <w:p>
      <w:pPr>
        <w:pStyle w:val="Heading3"/>
      </w:pPr>
      <w:r>
        <w:t xml:space="preserve">Sales Team Recommendations for Egypt Cairo Market</w:t>
      </w:r>
    </w:p>
    <w:p>
      <w:pPr>
        <w:pStyle w:val="FirstParagraph"/>
      </w:pPr>
      <w:r>
        <w:t xml:space="preserve">To capitalize on this momentum, we recommend:</w:t>
      </w:r>
    </w:p>
    <w:p>
      <w:pPr>
        <w:numPr>
          <w:ilvl w:val="0"/>
          <w:numId w:val="1005"/>
        </w:numPr>
        <w:pStyle w:val="Compact"/>
      </w:pPr>
      <w:r>
        <w:rPr>
          <w:bCs/>
          <w:b/>
        </w:rPr>
        <w:t xml:space="preserve">Local Certification Program:</w:t>
      </w:r>
      <w:r>
        <w:t xml:space="preserve"> </w:t>
      </w:r>
      <w:r>
        <w:t xml:space="preserve">Invest $75,000 to establish a Cairo-based Academic Researcher accreditation center (approved by Egyptian Ministry of Higher Education)</w:t>
      </w:r>
    </w:p>
    <w:p>
      <w:pPr>
        <w:numPr>
          <w:ilvl w:val="0"/>
          <w:numId w:val="1005"/>
        </w:numPr>
        <w:pStyle w:val="Compact"/>
      </w:pPr>
      <w:r>
        <w:rPr>
          <w:bCs/>
          <w:b/>
        </w:rPr>
        <w:t xml:space="preserve">Cairo Sales Hub Expansion:</w:t>
      </w:r>
      <w:r>
        <w:t xml:space="preserve"> </w:t>
      </w:r>
      <w:r>
        <w:t xml:space="preserve">Add two dedicated researchers to our Cairo team for direct client engagement</w:t>
      </w:r>
    </w:p>
    <w:p>
      <w:pPr>
        <w:numPr>
          <w:ilvl w:val="0"/>
          <w:numId w:val="1005"/>
        </w:numPr>
        <w:pStyle w:val="Compact"/>
      </w:pPr>
      <w:r>
        <w:rPr>
          <w:bCs/>
          <w:b/>
        </w:rPr>
        <w:t xml:space="preserve">Government Relations Initiative:</w:t>
      </w:r>
      <w:r>
        <w:t xml:space="preserve"> </w:t>
      </w:r>
      <w:r>
        <w:t xml:space="preserve">Partner with Egypt's National Council for Scientific Research to co-host quarterly academic sales workshops</w:t>
      </w:r>
    </w:p>
    <w:bookmarkEnd w:id="27"/>
    <w:bookmarkEnd w:id="28"/>
    <w:bookmarkStart w:id="29" w:name="Xa807591460ea6ec9e5d28b7ddf6ddad9c9d71f2"/>
    <w:p>
      <w:pPr>
        <w:pStyle w:val="Heading2"/>
      </w:pPr>
      <w:r>
        <w:t xml:space="preserve">Conclusion: The Academic Researcher Advantage in Egypt's Market</w:t>
      </w:r>
    </w:p>
    <w:p>
      <w:pPr>
        <w:pStyle w:val="FirstParagraph"/>
      </w:pPr>
      <w:r>
        <w:t xml:space="preserve">This Sales Report unequivocally demonstrates that Academic Researchers are not merely service providers but strategic differentiators in Egypt's competitive research market. In Cairo—a city where academic credibility directly impacts contract awards—our specialized Academic Researchers drive sales success through cultural fluency, regulatory mastery, and institutional trust. As Egypt accelerates its research-driven economic transformation (per World Bank 2023 data showing 14% annual growth in R&amp;D spending), the demand for certified Academic Researcher services will only intensify.</w:t>
      </w:r>
    </w:p>
    <w:p>
      <w:pPr>
        <w:pStyle w:val="BodyText"/>
      </w:pPr>
      <w:r>
        <w:t xml:space="preserve">Our Q3 results validate our market strategy: When you embed an Academic Researcher within your sales proposition in Cairo, Egypt, you don't just sell research—you sell institutional confidence. We are positioned to capture 35% of Egypt's $18 million academic research services market by 2025 through this focused approach. The future of sales success in Egypt Cairo belongs to those who understand that the Academic Researcher isn't a cost center—it's the most valuable asset in your revenue engine.</w:t>
      </w:r>
    </w:p>
    <w:p>
      <w:pPr>
        <w:pStyle w:val="BodyText"/>
      </w:pPr>
      <w:r>
        <w:t xml:space="preserve">Prepared by Global Research Solutions Sales Division | Cairo, Egypt |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Services in Cairo, Egypt</dc:title>
  <dc:creator/>
  <cp:keywords/>
  <dcterms:created xsi:type="dcterms:W3CDTF">2026-07-21T14:10:14Z</dcterms:created>
  <dcterms:modified xsi:type="dcterms:W3CDTF">2026-07-21T14:10:14Z</dcterms:modified>
</cp:coreProperties>
</file>

<file path=docProps/custom.xml><?xml version="1.0" encoding="utf-8"?>
<Properties xmlns="http://schemas.openxmlformats.org/officeDocument/2006/custom-properties" xmlns:vt="http://schemas.openxmlformats.org/officeDocument/2006/docPropsVTypes"/>
</file>