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33" w:name="Xc1baf2f188e4583f2d9fac8ca7029824f778466"/>
    <w:p>
      <w:pPr>
        <w:pStyle w:val="Heading1"/>
      </w:pPr>
      <w:r>
        <w:t xml:space="preserve">Comprehensive Sales Report: Academic Researcher Performance in France Lyon</w:t>
      </w:r>
    </w:p>
    <w:bookmarkStart w:id="32" w:name="Xb069a2c160b4369c199f3ce29a363f945a68e52"/>
    <w:p>
      <w:pPr>
        <w:pStyle w:val="Heading2"/>
      </w:pPr>
      <w:r>
        <w:t xml:space="preserve">Prepared For: University of Lyon Research Directorate &amp; Industry Partnerships Office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Dr. Élise Moreau, Senior Academic Researcher</w:t>
      </w:r>
    </w:p>
    <w:bookmarkStart w:id="20" w:name="i.-executive-summary"/>
    <w:p>
      <w:pPr>
        <w:pStyle w:val="Heading3"/>
      </w:pPr>
      <w:r>
        <w:t xml:space="preserve">I. Executive Summary</w:t>
      </w:r>
    </w:p>
    <w:p>
      <w:pPr>
        <w:pStyle w:val="FirstParagraph"/>
      </w:pPr>
      <w:r>
        <w:t xml:space="preserve">This Sales Report details the performance metrics and strategic initiatives of the Academic Researcher team within France Lyon's academic ecosystem during Q3 2023. As a pivotal nexus between research innovation and commercial application, our team has secured €1.8M in new funding streams—exceeding targets by 22%—through rigorous alignment with Lyon's industrial priorities. The report underscores how our Academic Researcher framework drives sustainable growth in France Lyon's knowledge economy, transforming cutting-edge discoveries into market-ready solutions across biotechnology, AI, and sustainable manufacturing sectors.</w:t>
      </w:r>
    </w:p>
    <w:bookmarkEnd w:id="20"/>
    <w:bookmarkStart w:id="21" w:name="Xf9a362425373807da3898c60ad165710c0dceb4"/>
    <w:p>
      <w:pPr>
        <w:pStyle w:val="Heading3"/>
      </w:pPr>
      <w:r>
        <w:t xml:space="preserve">II. Market Context: France Lyon as Innovation Hub</w:t>
      </w:r>
    </w:p>
    <w:p>
      <w:pPr>
        <w:pStyle w:val="FirstParagraph"/>
      </w:pPr>
      <w:r>
        <w:t xml:space="preserve">Lyon’s strategic position as a European research hub (ranked #3 in France for R&amp;D intensity) provides unparalleled opportunities for Academic Researchers to bridge academia and industry. With 47,000+ researchers across 12 universities and 5 major innovation clusters (including Lyonbiopôle and Lémanic), the city attracts €2.1B annually in research investment. This Sales Report confirms that France Lyon’s unique ecosystem—characterized by seamless university-industry collaboration pathways—directly fuels our Academic Researcher success metrics.</w:t>
      </w:r>
    </w:p>
    <w:bookmarkEnd w:id="21"/>
    <w:bookmarkStart w:id="22" w:name="X530bb6f951debdbd9a2c2e5cc175f06b117ba4f"/>
    <w:p>
      <w:pPr>
        <w:pStyle w:val="Heading3"/>
      </w:pPr>
      <w:r>
        <w:t xml:space="preserve">III. Key Performance Indicators: Sales Metrics Analysis</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New Research Contracts (€)</w:t>
      </w:r>
    </w:p>
    <w:p>
      <w:pPr>
        <w:pStyle w:val="BodyText"/>
      </w:pPr>
      <w:r>
        <w:t xml:space="preserve">1.45M</w:t>
      </w:r>
    </w:p>
    <w:p>
      <w:pPr>
        <w:pStyle w:val="BodyText"/>
      </w:pPr>
      <w:r>
        <w:t xml:space="preserve">1.68M</w:t>
      </w:r>
    </w:p>
    <w:p>
      <w:pPr>
        <w:pStyle w:val="BodyText"/>
      </w:pPr>
      <w:r>
        <w:t xml:space="preserve">+22%</w:t>
      </w:r>
    </w:p>
    <w:p>
      <w:pPr>
        <w:pStyle w:val="BodyText"/>
      </w:pPr>
      <w:r>
        <w:t xml:space="preserve">Licensing Agreements</w:t>
      </w:r>
    </w:p>
    <w:p>
      <w:pPr>
        <w:pStyle w:val="BodyText"/>
      </w:pPr>
      <w:r>
        <w:t xml:space="preserve">7</w:t>
      </w:r>
    </w:p>
    <w:p>
      <w:pPr>
        <w:pStyle w:val="BodyText"/>
      </w:pPr>
      <w:r>
        <w:t xml:space="preserve">&lt; td&gt;9</w:t>
      </w:r>
    </w:p>
    <w:p>
      <w:pPr>
        <w:pStyle w:val="BodyText"/>
      </w:pPr>
      <w:r>
        <w:t xml:space="preserve">&lt; td&gt;+29%</w:t>
      </w:r>
    </w:p>
    <w:p>
      <w:pPr>
        <w:pStyle w:val="BodyText"/>
      </w:pPr>
      <w:r>
        <w:t xml:space="preserve">Industry-Driven Grant Applications Submitted</w:t>
      </w:r>
    </w:p>
    <w:p>
      <w:pPr>
        <w:pStyle w:val="BodyText"/>
      </w:pPr>
      <w:r>
        <w:t xml:space="preserve">18</w:t>
      </w:r>
    </w:p>
    <w:p>
      <w:pPr>
        <w:pStyle w:val="BodyText"/>
      </w:pPr>
      <w:r>
        <w:t xml:space="preserve">&lt; td&gt;24</w:t>
      </w:r>
    </w:p>
    <w:p>
      <w:pPr>
        <w:pStyle w:val="BodyText"/>
      </w:pPr>
      <w:r>
        <w:t xml:space="preserve">&lt; td&gt;+33%</w:t>
      </w:r>
    </w:p>
    <w:p>
      <w:pPr>
        <w:pStyle w:val="BodyText"/>
      </w:pPr>
      <w:r>
        <w:t xml:space="preserve">Funding Diversification Index (New Partners)</w:t>
      </w:r>
    </w:p>
    <w:p>
      <w:pPr>
        <w:pStyle w:val="BodyText"/>
      </w:pPr>
      <w:r>
        <w:t xml:space="preserve">6.0</w:t>
      </w:r>
    </w:p>
    <w:p>
      <w:pPr>
        <w:pStyle w:val="BodyText"/>
      </w:pPr>
      <w:r>
        <w:t xml:space="preserve">&lt; td&gt;8.5</w:t>
      </w:r>
    </w:p>
    <w:p>
      <w:pPr>
        <w:pStyle w:val="BodyText"/>
      </w:pPr>
      <w:r>
        <w:t xml:space="preserve">&lt; td&gt;+42%</w:t>
      </w:r>
    </w:p>
    <w:p>
      <w:pPr>
        <w:pStyle w:val="BodyText"/>
      </w:pPr>
      <w:r>
        <w:t xml:space="preserve">The Academic Researcher team’s 29% increase in licensing agreements directly correlates with Lyon’s focus on "Smart Specialization Strategy" in health tech and green chemistry. Notable wins include: (1) A €500K partnership with BioMérieux for AI-driven diagnostics, (2) Licensing of nanomaterials patent to a Lyon-based cleantech startup, and (3) Co-investment in the "Lyon Innovation Fund" with 3 industrial partners.</w:t>
      </w:r>
    </w:p>
    <w:bookmarkEnd w:id="22"/>
    <w:bookmarkStart w:id="26" w:name="X43f447f5d7f694892a10922610aea901c073319"/>
    <w:p>
      <w:pPr>
        <w:pStyle w:val="Heading3"/>
      </w:pPr>
      <w:r>
        <w:t xml:space="preserve">IV. France Lyon-Specific Sales Strategy Breakdown</w:t>
      </w:r>
    </w:p>
    <w:p>
      <w:pPr>
        <w:pStyle w:val="FirstParagraph"/>
      </w:pPr>
      <w:r>
        <w:t xml:space="preserve">Our Sales Report identifies three pillars underpinning success in France Lyon:</w:t>
      </w:r>
    </w:p>
    <w:bookmarkStart w:id="23" w:name="a-hyperlocal-industry-mapping"/>
    <w:p>
      <w:pPr>
        <w:pStyle w:val="Heading4"/>
      </w:pPr>
      <w:r>
        <w:t xml:space="preserve">A) Hyperlocal Industry Mapping</w:t>
      </w:r>
    </w:p>
    <w:p>
      <w:pPr>
        <w:pStyle w:val="FirstParagraph"/>
      </w:pPr>
      <w:r>
        <w:t xml:space="preserve">We conducted targeted analysis of Lyon’s top 100 industrial clusters (e.g., MedTech Valley, Green Energy Alliance), aligning Academic Researcher projects with their 2025 R&amp;D roadmaps. This resulted in a 37% higher win rate for proposals addressing specific Lyon industry pain points—such as optimizing pharmaceutical supply chains or reducing carbon footprint in manufacturing.</w:t>
      </w:r>
    </w:p>
    <w:bookmarkEnd w:id="23"/>
    <w:bookmarkStart w:id="24" w:name="b-policy-driven-incentives-leverage"/>
    <w:p>
      <w:pPr>
        <w:pStyle w:val="Heading4"/>
      </w:pPr>
      <w:r>
        <w:t xml:space="preserve">B) Policy-Driven Incentives Leverage</w:t>
      </w:r>
    </w:p>
    <w:p>
      <w:pPr>
        <w:pStyle w:val="FirstParagraph"/>
      </w:pPr>
      <w:r>
        <w:t xml:space="preserve">By strategically deploying France’s "Investing for the Future" program (PIA 2023), our Academic Researcher team secured €750K in matched funding from the French National Research Agency (ANR). The report notes that 89% of successful proposals referenced Lyon-specific policy frameworks like "Lyon Metropole Innovation" initiatives.</w:t>
      </w:r>
    </w:p>
    <w:bookmarkEnd w:id="24"/>
    <w:bookmarkStart w:id="25" w:name="c-cross-institutional-synergy"/>
    <w:p>
      <w:pPr>
        <w:pStyle w:val="Heading4"/>
      </w:pPr>
      <w:r>
        <w:t xml:space="preserve">C) Cross-Institutional Synergy</w:t>
      </w:r>
    </w:p>
    <w:p>
      <w:pPr>
        <w:pStyle w:val="FirstParagraph"/>
      </w:pPr>
      <w:r>
        <w:t xml:space="preserve">Collaborating with Université Claude Bernard Lyon 1, INSA Lyon, and CEA’s Grenoble labs amplified our sales reach. A joint proposal for sustainable battery tech secured €320K from the European Innovation Council—demonstrating how France Lyon’s academic network elevates individual Academic Researcher capabilities.</w:t>
      </w:r>
    </w:p>
    <w:bookmarkEnd w:id="25"/>
    <w:bookmarkEnd w:id="26"/>
    <w:bookmarkStart w:id="27" w:name="X0e30db966ce70a51f0992446e21ad34db32e096"/>
    <w:p>
      <w:pPr>
        <w:pStyle w:val="Heading3"/>
      </w:pPr>
      <w:r>
        <w:t xml:space="preserve">V. Competitive Landscape &amp; Challenges in France Lyon</w:t>
      </w:r>
    </w:p>
    <w:p>
      <w:pPr>
        <w:pStyle w:val="FirstParagraph"/>
      </w:pPr>
      <w:r>
        <w:t xml:space="preserve">While Lyon’s research density offers advantages, our Sales Report identifies critical challenges requiring mitigation:</w:t>
      </w:r>
    </w:p>
    <w:p>
      <w:pPr>
        <w:numPr>
          <w:ilvl w:val="0"/>
          <w:numId w:val="1001"/>
        </w:numPr>
        <w:pStyle w:val="Compact"/>
      </w:pPr>
      <w:r>
        <w:rPr>
          <w:bCs/>
          <w:b/>
        </w:rPr>
        <w:t xml:space="preserve">Administrative Complexity:</w:t>
      </w:r>
      <w:r>
        <w:t xml:space="preserve"> </w:t>
      </w:r>
      <w:r>
        <w:t xml:space="preserve">42% of industry partners cited bureaucratic hurdles in contract finalization (vs. 28% in Paris). Solution: Launching "Lyon Innovation Accelerator" for streamlined IP agreements.</w:t>
      </w:r>
    </w:p>
    <w:p>
      <w:pPr>
        <w:numPr>
          <w:ilvl w:val="0"/>
          <w:numId w:val="1001"/>
        </w:numPr>
        <w:pStyle w:val="Compact"/>
      </w:pPr>
      <w:r>
        <w:rPr>
          <w:bCs/>
          <w:b/>
        </w:rPr>
        <w:t xml:space="preserve">Talent Retention Pressure:</w:t>
      </w:r>
      <w:r>
        <w:t xml:space="preserve"> </w:t>
      </w:r>
      <w:r>
        <w:t xml:space="preserve">Competition from German and Swiss research hubs threatens Academic Researcher staffing. Solution: Implementing Lyon-specific mobility grants with industrial partners (e.g., €15K/year for postdocs co-located at partner firms).</w:t>
      </w:r>
    </w:p>
    <w:p>
      <w:pPr>
        <w:numPr>
          <w:ilvl w:val="0"/>
          <w:numId w:val="1001"/>
        </w:numPr>
        <w:pStyle w:val="Compact"/>
      </w:pPr>
      <w:r>
        <w:rPr>
          <w:bCs/>
          <w:b/>
        </w:rPr>
        <w:t xml:space="preserve">Sectoral Imbalance:</w:t>
      </w:r>
      <w:r>
        <w:t xml:space="preserve"> </w:t>
      </w:r>
      <w:r>
        <w:t xml:space="preserve">Over-reliance on biotech (72% of projects) vs. emerging sectors like quantum computing. Solution: Redirecting 15% of Q4 funding toward AI/quantum partnerships with Lyon-based startups.</w:t>
      </w:r>
    </w:p>
    <w:bookmarkEnd w:id="27"/>
    <w:bookmarkStart w:id="28" w:name="X5b4a3c39a1f93e5982e9253d7042181c7e3170f"/>
    <w:p>
      <w:pPr>
        <w:pStyle w:val="Heading3"/>
      </w:pPr>
      <w:r>
        <w:t xml:space="preserve">VI. Strategic Recommendations for Future Sales Growth</w:t>
      </w:r>
    </w:p>
    <w:p>
      <w:pPr>
        <w:pStyle w:val="FirstParagraph"/>
      </w:pPr>
      <w:r>
        <w:t xml:space="preserve">Based on this Academic Researcher performance analysis, we recommend three France Lyon-specific actions:</w:t>
      </w:r>
    </w:p>
    <w:p>
      <w:pPr>
        <w:numPr>
          <w:ilvl w:val="0"/>
          <w:numId w:val="1002"/>
        </w:numPr>
        <w:pStyle w:val="Compact"/>
      </w:pPr>
      <w:r>
        <w:rPr>
          <w:bCs/>
          <w:b/>
        </w:rPr>
        <w:t xml:space="preserve">Launch "Lyon Tech Match" Platform:</w:t>
      </w:r>
      <w:r>
        <w:t xml:space="preserve"> </w:t>
      </w:r>
      <w:r>
        <w:t xml:space="preserve">A digital portal connecting Academic Researchers with real-time industry R&amp;D needs (modeled after successful Toulouse innovation hub). Projected ROI: €4.3M in new contracts within 18 months.</w:t>
      </w:r>
    </w:p>
    <w:p>
      <w:pPr>
        <w:numPr>
          <w:ilvl w:val="0"/>
          <w:numId w:val="1002"/>
        </w:numPr>
        <w:pStyle w:val="Compact"/>
      </w:pPr>
      <w:r>
        <w:rPr>
          <w:bCs/>
          <w:b/>
        </w:rPr>
        <w:t xml:space="preserve">Prioritize Public-Private Innovation Pools:</w:t>
      </w:r>
      <w:r>
        <w:t xml:space="preserve"> </w:t>
      </w:r>
      <w:r>
        <w:t xml:space="preserve">Advocate for France Lyon’s regional government to establish a dedicated €5M fund for Academic Researcher-led industry co-innovation projects, mirroring the EU's "Horizon Europe" model.</w:t>
      </w:r>
    </w:p>
    <w:bookmarkEnd w:id="28"/>
    <w:bookmarkStart w:id="31" w:name="vii.-conclusion"/>
    <w:p>
      <w:pPr>
        <w:pStyle w:val="Heading3"/>
      </w:pPr>
      <w:r>
        <w:t xml:space="preserve">VII. Conclusion</w:t>
      </w:r>
    </w:p>
    <w:p>
      <w:pPr>
        <w:pStyle w:val="FirstParagraph"/>
      </w:pPr>
      <w:r>
        <w:t xml:space="preserve">This comprehensive Sales Report affirms that Academic Researchers operating within France Lyon’s ecosystem deliver exceptional ROI through market-responsive innovation. By leveraging Lyon’s unique confluence of industrial clusters, policy frameworks, and academic excellence, our team has transformed research output into tangible economic value—securing €1.8M in sales while strengthening France Lyon's position as a global R&amp;D leader.</w:t>
      </w:r>
    </w:p>
    <w:p>
      <w:pPr>
        <w:pStyle w:val="BodyText"/>
      </w:pPr>
      <w:r>
        <w:t xml:space="preserve">As the Academic Researcher community in France Lyon continues to mature, we commit to elevating this model: Where every grant application is a sales opportunity, every patent is a commercial asset, and every research question aligns with industry’s most urgent challenges. The path forward isn't merely about publishing papers—it's about generating sustainable impact within the heart of Europe's innovation corridor.</w:t>
      </w:r>
    </w:p>
    <w:bookmarkStart w:id="29" w:name="X668a7c6ca8a8ce9d213d2848eea89c94e81a16b"/>
    <w:p>
      <w:pPr>
        <w:pStyle w:val="Heading4"/>
      </w:pPr>
      <w:r>
        <w:t xml:space="preserve">Appendix A: Lyon Innovation Cluster Partnership Map</w:t>
      </w:r>
    </w:p>
    <w:p>
      <w:pPr>
        <w:pStyle w:val="FirstParagraph"/>
      </w:pPr>
      <w:r>
        <w:rPr>
          <w:iCs/>
          <w:i/>
        </w:rPr>
        <w:t xml:space="preserve">Visual representation of key industrial partners in France Lyon (attached separately in digital format)</w:t>
      </w:r>
    </w:p>
    <w:bookmarkEnd w:id="29"/>
    <w:bookmarkStart w:id="30" w:name="X391afa1c1c9fb4dec6dd467e75b691ef17e71e6"/>
    <w:p>
      <w:pPr>
        <w:pStyle w:val="Heading4"/>
      </w:pPr>
      <w:r>
        <w:t xml:space="preserve">Appendix B: Q3 2023 Sales Metrics Verification</w:t>
      </w:r>
    </w:p>
    <w:p>
      <w:pPr>
        <w:pStyle w:val="FirstParagraph"/>
      </w:pPr>
      <w:r>
        <w:t xml:space="preserve">All figures validated by Université de Lyon Finance Department &amp; ANR audit records</w:t>
      </w:r>
    </w:p>
    <w:p>
      <w:pPr>
        <w:pStyle w:val="BodyText"/>
      </w:pPr>
      <w:r>
        <w:rPr>
          <w:bCs/>
          <w:b/>
        </w:rPr>
        <w:t xml:space="preserve">Prepared By:</w:t>
      </w:r>
      <w:r>
        <w:t xml:space="preserve"> </w:t>
      </w:r>
      <w:r>
        <w:t xml:space="preserve">Dr. Élise Moreau, Senior Academic Researcher | University of Lyon Innovation Directorate</w:t>
      </w:r>
      <w:r>
        <w:br/>
      </w:r>
      <w:r>
        <w:rPr>
          <w:bCs/>
          <w:b/>
        </w:rPr>
        <w:t xml:space="preserve">Contact:</w:t>
      </w:r>
      <w:r>
        <w:t xml:space="preserve"> </w:t>
      </w:r>
      <w:r>
        <w:t xml:space="preserve">elise.moreau@univ-lyon.fr | +33 4 72 10 XX XX</w:t>
      </w:r>
    </w:p>
    <w:bookmarkEnd w:id="30"/>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France Lyon Market Analysis</dc:title>
  <dc:creator/>
  <dc:language>en</dc:language>
  <cp:keywords/>
  <dcterms:created xsi:type="dcterms:W3CDTF">2025-12-12T13:53:50Z</dcterms:created>
  <dcterms:modified xsi:type="dcterms:W3CDTF">2025-12-12T13:53:50Z</dcterms:modified>
</cp:coreProperties>
</file>

<file path=docProps/custom.xml><?xml version="1.0" encoding="utf-8"?>
<Properties xmlns="http://schemas.openxmlformats.org/officeDocument/2006/custom-properties" xmlns:vt="http://schemas.openxmlformats.org/officeDocument/2006/docPropsVTypes"/>
</file>