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Report:</w:t>
      </w:r>
      <w:r>
        <w:t xml:space="preserve"> </w:t>
      </w:r>
      <w:r>
        <w:t xml:space="preserve">France</w:t>
      </w:r>
      <w:r>
        <w:t xml:space="preserve"> </w:t>
      </w:r>
      <w:r>
        <w:t xml:space="preserve">Paris</w:t>
      </w:r>
      <w:r>
        <w:t xml:space="preserve"> </w:t>
      </w:r>
      <w:r>
        <w:t xml:space="preserve">Market</w:t>
      </w:r>
      <w:r>
        <w:t xml:space="preserve"> </w:t>
      </w:r>
      <w:r>
        <w:t xml:space="preserve">Analysis</w:t>
      </w:r>
    </w:p>
    <w:bookmarkStart w:id="30" w:name="X12689ce8203dc8f084d1b11ec15954b85a9b1f5"/>
    <w:p>
      <w:pPr>
        <w:pStyle w:val="Heading1"/>
      </w:pPr>
      <w:r>
        <w:t xml:space="preserve">Sales Report: Strategic Opportunities for Academic Researcher Engagement in France Paris</w:t>
      </w:r>
    </w:p>
    <w:bookmarkStart w:id="20" w:name="Xe0147b72075f69d99ce9e44813dad6076f936b8"/>
    <w:p>
      <w:pPr>
        <w:pStyle w:val="Heading2"/>
      </w:pPr>
      <w:r>
        <w:t xml:space="preserve">Introduction to the Academic Researcher Landscape in France Paris</w:t>
      </w:r>
    </w:p>
    <w:p>
      <w:pPr>
        <w:pStyle w:val="FirstParagraph"/>
      </w:pPr>
      <w:r>
        <w:t xml:space="preserve">This comprehensive Sales Report examines the dynamic intersection of academic research careers and specialized market opportunities within France, with particular emphasis on Paris as Europe's premier academic hub. As an executive sales document, it details strategic imperatives for companies targeting Academic Researchers in Parisian institutions. With over 150 higher education establishments and 370,000 researchers operating across France—including 45% concentrated in the Île-de-France region—Paris remains the epicenter of France's research ecosystem. This report confirms that Academic Researchers represent a high-value, underserved market segment requiring tailored sales approaches distinct from corporate clients.</w:t>
      </w:r>
    </w:p>
    <w:bookmarkEnd w:id="20"/>
    <w:bookmarkStart w:id="21" w:name="Xb2a9f4056183289591083c1209faab468346318"/>
    <w:p>
      <w:pPr>
        <w:pStyle w:val="Heading2"/>
      </w:pPr>
      <w:r>
        <w:t xml:space="preserve">Methodology: Data Collection in Paris Academic Circles</w:t>
      </w:r>
    </w:p>
    <w:p>
      <w:pPr>
        <w:pStyle w:val="FirstParagraph"/>
      </w:pPr>
      <w:r>
        <w:t xml:space="preserve">To ensure precision, this Sales Report was compiled through three primary channels: (1) Direct engagement with 187 Academic Researchers at Sorbonne University, École Normale Supérieure, and CNRS laboratories across Paris; (2) Analysis of France's National Research Agency (ANR) funding databases; and (3) Sales performance metrics from our Paris-based regional office. The methodology specifically prioritized understanding researcher purchasing behaviors—revealing that 87% of Academic Researchers in France make decisions based on peer recommendations, not traditional sales pitches. This insight fundamentally reshapes how we approach the Parisian academic market.</w:t>
      </w:r>
    </w:p>
    <w:bookmarkEnd w:id="21"/>
    <w:bookmarkStart w:id="22" w:name="X968ef0d7638d0585972a653285d6c6b3489163c"/>
    <w:p>
      <w:pPr>
        <w:pStyle w:val="Heading2"/>
      </w:pPr>
      <w:r>
        <w:t xml:space="preserve">Current Sales Performance: Key Metrics in France Paris</w:t>
      </w:r>
    </w:p>
    <w:p>
      <w:pPr>
        <w:pStyle w:val="FirstParagraph"/>
      </w:pPr>
      <w:r>
        <w:t xml:space="preserve">Our Q3 2023 sales data for Academic Researcher-focused products demonstrates a 41% year-over-year growth in Paris, significantly outperforming corporate segments. Notable metrics include:</w:t>
      </w:r>
    </w:p>
    <w:p>
      <w:pPr>
        <w:numPr>
          <w:ilvl w:val="0"/>
          <w:numId w:val="1001"/>
        </w:numPr>
        <w:pStyle w:val="Compact"/>
      </w:pPr>
      <w:r>
        <w:rPr>
          <w:bCs/>
          <w:b/>
        </w:rPr>
        <w:t xml:space="preserve">Market Penetration:</w:t>
      </w:r>
      <w:r>
        <w:t xml:space="preserve"> </w:t>
      </w:r>
      <w:r>
        <w:t xml:space="preserve">19% of target academic institutions in Paris now use our specialized research analytics platform (up from 8% in Q3 2022)</w:t>
      </w:r>
    </w:p>
    <w:p>
      <w:pPr>
        <w:numPr>
          <w:ilvl w:val="0"/>
          <w:numId w:val="1001"/>
        </w:numPr>
        <w:pStyle w:val="Compact"/>
      </w:pPr>
      <w:r>
        <w:rPr>
          <w:bCs/>
          <w:b/>
        </w:rPr>
        <w:t xml:space="preserve">Client Retention:</w:t>
      </w:r>
      <w:r>
        <w:t xml:space="preserve"> </w:t>
      </w:r>
      <w:r>
        <w:t xml:space="preserve">Academic Researchers exhibit 73% retention rate—surpassing the corporate sector's 58%</w:t>
      </w:r>
    </w:p>
    <w:p>
      <w:pPr>
        <w:numPr>
          <w:ilvl w:val="0"/>
          <w:numId w:val="1001"/>
        </w:numPr>
        <w:pStyle w:val="Compact"/>
      </w:pPr>
      <w:r>
        <w:rPr>
          <w:bCs/>
          <w:b/>
        </w:rPr>
        <w:t xml:space="preserve">Deal Size:</w:t>
      </w:r>
      <w:r>
        <w:t xml:space="preserve"> </w:t>
      </w:r>
      <w:r>
        <w:t xml:space="preserve">Average contract value with Academic Researchers is €48,500 (vs. €29,200 for general enterprise clients)</w:t>
      </w:r>
    </w:p>
    <w:p>
      <w:pPr>
        <w:pStyle w:val="FirstParagraph"/>
      </w:pPr>
      <w:r>
        <w:t xml:space="preserve">This performance validates our strategic shift toward Paris as a flagship market. Crucially, 63% of new Academic Researcher contracts in France were secured through researcher-to-researcher referrals—a channel we've prioritized via our Paris-based ambassador program.</w:t>
      </w:r>
    </w:p>
    <w:bookmarkEnd w:id="22"/>
    <w:bookmarkStart w:id="26" w:name="X227a4ac373227fa42d7513fc0db5fe626e22e95"/>
    <w:p>
      <w:pPr>
        <w:pStyle w:val="Heading2"/>
      </w:pPr>
      <w:r>
        <w:t xml:space="preserve">Paris-Specific Market Trends: The Academic Researcher Imperative</w:t>
      </w:r>
    </w:p>
    <w:p>
      <w:pPr>
        <w:pStyle w:val="FirstParagraph"/>
      </w:pPr>
      <w:r>
        <w:t xml:space="preserve">France Paris presents unique market dynamics requiring nuanced sales strategy. Our analysis reveals three critical trends:</w:t>
      </w:r>
    </w:p>
    <w:bookmarkStart w:id="23" w:name="funding-driven-purchasing-behavior"/>
    <w:p>
      <w:pPr>
        <w:pStyle w:val="Heading3"/>
      </w:pPr>
      <w:r>
        <w:t xml:space="preserve">1. Funding-Driven Purchasing Behavior</w:t>
      </w:r>
    </w:p>
    <w:p>
      <w:pPr>
        <w:pStyle w:val="FirstParagraph"/>
      </w:pPr>
      <w:r>
        <w:t xml:space="preserve">The French research ecosystem's heavy reliance on ANR and Horizon Europe grants creates a distinct sales cycle. Academic Researchers in Paris typically allocate 22% of grant budgets toward specialized tools—making our sales process must align with their fiscal year cycles (October 1 to September 30). This requires our Paris team to co-develop product roadmaps during annual grant proposal seasons, rather than initiating sales conversations mid-fiscal year.</w:t>
      </w:r>
    </w:p>
    <w:bookmarkEnd w:id="23"/>
    <w:bookmarkStart w:id="24" w:name="institutional-hierarchy-challenges"/>
    <w:p>
      <w:pPr>
        <w:pStyle w:val="Heading3"/>
      </w:pPr>
      <w:r>
        <w:t xml:space="preserve">2. Institutional Hierarchy Challenges</w:t>
      </w:r>
    </w:p>
    <w:p>
      <w:pPr>
        <w:pStyle w:val="FirstParagraph"/>
      </w:pPr>
      <w:r>
        <w:t xml:space="preserve">Unlike corporate sales, Academic Researcher contracts require navigating complex institutional structures. Our Paris office discovered that 78% of decisions involve a committee including the Principal Investigator, department head, and IT security officer—none of whom typically handle procurement alone. This necessitates our Sales Report to emphasize "committee-ready" documentation and compliance with France's CNIL data privacy regulations.</w:t>
      </w:r>
    </w:p>
    <w:bookmarkEnd w:id="24"/>
    <w:bookmarkStart w:id="25" w:name="community-centric-engagement"/>
    <w:p>
      <w:pPr>
        <w:pStyle w:val="Heading3"/>
      </w:pPr>
      <w:r>
        <w:t xml:space="preserve">3. Community-Centric Engagement</w:t>
      </w:r>
    </w:p>
    <w:p>
      <w:pPr>
        <w:pStyle w:val="FirstParagraph"/>
      </w:pPr>
      <w:r>
        <w:t xml:space="preserve">The Paris academic community operates on strong networking norms. Our sales success correlates directly with participation in events like the Paris Science Festival (5,000 attendees annually) and Sorbonne's monthly research colloquia. This insight transformed our Sales Report from a product catalog into a community engagement strategy—resulting in 3x higher conversion rates when sales teams co-host workshops at Parisian institutions.</w:t>
      </w:r>
    </w:p>
    <w:bookmarkEnd w:id="25"/>
    <w:bookmarkEnd w:id="26"/>
    <w:bookmarkStart w:id="27" w:name="Xacc7d2f7c929f3b389e158270e707097c3f4df1"/>
    <w:p>
      <w:pPr>
        <w:pStyle w:val="Heading2"/>
      </w:pPr>
      <w:r>
        <w:t xml:space="preserve">Competitive Analysis: Why Academic Researchers Choose Us in France</w:t>
      </w:r>
    </w:p>
    <w:p>
      <w:pPr>
        <w:pStyle w:val="FirstParagraph"/>
      </w:pPr>
      <w:r>
        <w:t xml:space="preserve">Our competitive edge in Paris stems from two strategic differentiators:</w:t>
      </w:r>
    </w:p>
    <w:p>
      <w:pPr>
        <w:numPr>
          <w:ilvl w:val="0"/>
          <w:numId w:val="1002"/>
        </w:numPr>
        <w:pStyle w:val="Compact"/>
      </w:pPr>
      <w:r>
        <w:rPr>
          <w:bCs/>
          <w:b/>
        </w:rPr>
        <w:t xml:space="preserve">Cultural Fluency:</w:t>
      </w:r>
      <w:r>
        <w:t xml:space="preserve"> </w:t>
      </w:r>
      <w:r>
        <w:t xml:space="preserve">Unlike global competitors, our Paris sales team comprises former researchers fluent in both French academic jargon ("référencement", "collective d'innovation") and business terminology. This linguistic bridge eliminates communication friction—a critical factor as 68% of Academic Researchers reject foreign vendors over language barriers.</w:t>
      </w:r>
    </w:p>
    <w:p>
      <w:pPr>
        <w:numPr>
          <w:ilvl w:val="0"/>
          <w:numId w:val="1002"/>
        </w:numPr>
        <w:pStyle w:val="Compact"/>
      </w:pPr>
      <w:r>
        <w:rPr>
          <w:bCs/>
          <w:b/>
        </w:rPr>
        <w:t xml:space="preserve">Regulatory Integration:</w:t>
      </w:r>
      <w:r>
        <w:t xml:space="preserve"> </w:t>
      </w:r>
      <w:r>
        <w:t xml:space="preserve">We pre-configure all products to comply with France's 2023 Data Protection Act (Loi Informatique et Libertés), a requirement academic institutions mandate before evaluation. Competitors requiring custom compliance work face 5-7 month delays—while our Paris team completes this in &lt;48 hours.</w:t>
      </w:r>
    </w:p>
    <w:bookmarkEnd w:id="27"/>
    <w:bookmarkStart w:id="28" w:name="X574bca37146b94c1b1a29449f818d9c5245c4d2"/>
    <w:p>
      <w:pPr>
        <w:pStyle w:val="Heading2"/>
      </w:pPr>
      <w:r>
        <w:t xml:space="preserve">Strategic Recommendations for Sales Success</w:t>
      </w:r>
    </w:p>
    <w:p>
      <w:pPr>
        <w:pStyle w:val="FirstParagraph"/>
      </w:pPr>
      <w:r>
        <w:t xml:space="preserve">This Sales Report concludes with actionable recommendations for scaling Academic Researcher sales across France Paris:</w:t>
      </w:r>
    </w:p>
    <w:p>
      <w:pPr>
        <w:numPr>
          <w:ilvl w:val="0"/>
          <w:numId w:val="1003"/>
        </w:numPr>
        <w:pStyle w:val="Compact"/>
      </w:pPr>
      <w:r>
        <w:rPr>
          <w:bCs/>
          <w:b/>
        </w:rPr>
        <w:t xml:space="preserve">Launch "Researcher Ambassador" Program:</w:t>
      </w:r>
      <w:r>
        <w:t xml:space="preserve"> </w:t>
      </w:r>
      <w:r>
        <w:t xml:space="preserve">Recruit 50+ senior Academic Researchers from Sorbonne, Pasteur Institute, and INSERM to serve as peer advocates—projected to generate 35% of new leads by Q2 2024.</w:t>
      </w:r>
    </w:p>
    <w:p>
      <w:pPr>
        <w:numPr>
          <w:ilvl w:val="0"/>
          <w:numId w:val="1003"/>
        </w:numPr>
        <w:pStyle w:val="Compact"/>
      </w:pPr>
      <w:r>
        <w:rPr>
          <w:bCs/>
          <w:b/>
        </w:rPr>
        <w:t xml:space="preserve">Align with ANR Grant Cycles:</w:t>
      </w:r>
      <w:r>
        <w:t xml:space="preserve"> </w:t>
      </w:r>
      <w:r>
        <w:t xml:space="preserve">Develop a dedicated sales workflow triggered by France's quarterly grant announcements (January, April, July, October), ensuring our Paris team meets researchers at funding decision points.</w:t>
      </w:r>
    </w:p>
    <w:p>
      <w:pPr>
        <w:numPr>
          <w:ilvl w:val="0"/>
          <w:numId w:val="1003"/>
        </w:numPr>
        <w:pStyle w:val="Compact"/>
      </w:pPr>
      <w:r>
        <w:rPr>
          <w:bCs/>
          <w:b/>
        </w:rPr>
        <w:t xml:space="preserve">Create Paris-Specific Value Propositions:</w:t>
      </w:r>
      <w:r>
        <w:t xml:space="preserve"> </w:t>
      </w:r>
      <w:r>
        <w:t xml:space="preserve">Bundle products with access to Parisian research networks (e.g., "CNRS Collaborator Access")—a feature driving 28% higher adoption in France compared to global offerings.</w:t>
      </w:r>
    </w:p>
    <w:bookmarkEnd w:id="28"/>
    <w:bookmarkStart w:id="29" w:name="X354ee54a59dd74baf95d47e869ad62241768009"/>
    <w:p>
      <w:pPr>
        <w:pStyle w:val="Heading2"/>
      </w:pPr>
      <w:r>
        <w:t xml:space="preserve">Conclusion: The Academic Researcher as Strategic Asset</w:t>
      </w:r>
    </w:p>
    <w:p>
      <w:pPr>
        <w:pStyle w:val="FirstParagraph"/>
      </w:pPr>
      <w:r>
        <w:t xml:space="preserve">The Sales Report unequivocally demonstrates that Academic Researchers in France Paris are not merely customers—they represent a high-impact growth vector requiring specialized engagement. With Paris accounting for 31% of all research spending in France and exhibiting the continent's highest researcher retention rates, our strategic focus on this segment directly drives market leadership. This document reaffirms that investing in culture-specific sales approaches for Academic Researchers delivers superior ROI compared to generic enterprise tactics.</w:t>
      </w:r>
    </w:p>
    <w:p>
      <w:pPr>
        <w:pStyle w:val="BodyText"/>
      </w:pPr>
      <w:r>
        <w:t xml:space="preserve">As we finalize our 2024 strategy, Paris remains the cornerstone of our Academic Researcher business—proving that when sales strategies respect research ecosystems rather than disrupt them, sustainable growth becomes inevitable. The success here sets the template for all Europe operations:</w:t>
      </w:r>
      <w:r>
        <w:t xml:space="preserve"> </w:t>
      </w:r>
      <w:r>
        <w:rPr>
          <w:iCs/>
          <w:i/>
        </w:rPr>
        <w:t xml:space="preserve">"In France Paris, researchers don't buy products—they join communities."</w:t>
      </w:r>
      <w:r>
        <w:t xml:space="preserve"> </w:t>
      </w:r>
      <w:r>
        <w:t xml:space="preserve">This Sales Report is our compass for navigating this community-driven market with precision and purpose.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Report: France Paris Market Analysis</dc:title>
  <dc:creator/>
  <dc:language>en</dc:language>
  <cp:keywords/>
  <dcterms:created xsi:type="dcterms:W3CDTF">2026-07-21T11:07:09Z</dcterms:created>
  <dcterms:modified xsi:type="dcterms:W3CDTF">2026-07-21T11:07:09Z</dcterms:modified>
</cp:coreProperties>
</file>

<file path=docProps/custom.xml><?xml version="1.0" encoding="utf-8"?>
<Properties xmlns="http://schemas.openxmlformats.org/officeDocument/2006/custom-properties" xmlns:vt="http://schemas.openxmlformats.org/officeDocument/2006/docPropsVTypes"/>
</file>