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87a369fb832465d0e3f875463292fc52b5515a5"/>
    <w:p>
      <w:pPr>
        <w:pStyle w:val="Heading1"/>
      </w:pPr>
      <w:r>
        <w:t xml:space="preserve">Sales Report: Strategic Market Analysis for Academic Researchers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Berlin Research Solutions GmbH</w:t>
      </w:r>
      <w:r>
        <w:br/>
      </w:r>
      <w:r>
        <w:rPr>
          <w:bCs/>
          <w:b/>
        </w:rPr>
        <w:t xml:space="preserve">Subject:</w:t>
      </w:r>
      <w:r>
        <w:t xml:space="preserve"> </w:t>
      </w:r>
      <w:r>
        <w:t xml:space="preserve">Sales Performance and Strategic Outlook for Academic Researcher Segment in Germany Berlin</w:t>
      </w:r>
    </w:p>
    <w:bookmarkStart w:id="20" w:name="i.-executive-summary"/>
    <w:p>
      <w:pPr>
        <w:pStyle w:val="Heading2"/>
      </w:pPr>
      <w:r>
        <w:t xml:space="preserve">I. Executive Summary</w:t>
      </w:r>
    </w:p>
    <w:p>
      <w:pPr>
        <w:pStyle w:val="FirstParagraph"/>
      </w:pPr>
      <w:r>
        <w:t xml:space="preserve">This comprehensive Sales Report details the performance of our specialized research tools and academic services targeting the influential Academic Researcher segment across Germany Berlin. As a leading provider of data analytics platforms for scholarly communities, we have achieved a 18% year-over-year growth in sales within this niche market, generating €1.2 million in Q3 2023 revenue. The report analyzes market dynamics, identifies critical opportunities within Berlin's academic ecosystem, and outlines strategic recommendations to sustain momentum. Germany Berlin remains our most productive metropolitan hub for Academic Researcher engagement due to its unparalleled concentration of research institutions and collaborative innovation networks.</w:t>
      </w:r>
    </w:p>
    <w:bookmarkEnd w:id="20"/>
    <w:bookmarkStart w:id="21" w:name="X9f4dba45f38e2465f13b8b44a369111e58512f2"/>
    <w:p>
      <w:pPr>
        <w:pStyle w:val="Heading2"/>
      </w:pPr>
      <w:r>
        <w:t xml:space="preserve">II. Market Context: Academic Researchers in Germany Berlin</w:t>
      </w:r>
    </w:p>
    <w:p>
      <w:pPr>
        <w:pStyle w:val="FirstParagraph"/>
      </w:pPr>
      <w:r>
        <w:t xml:space="preserve">Berlin serves as the epicenter of academic research in Germany, housing 67% of federal research centers (DFG statistics) including the Helmholtz Association, Max Planck Institutes, and Charité University Hospital. With over 85,000 Academic Researchers operating across universities (e.g., FU Berlin, HU Berlin), technical colleges (TU Berlin), and non-profit research bodies, this market represents a high-value sales opportunity. Our data shows that Academic Researchers in Germany Berlin allocate an average of €12,400 annually for specialized research tools—significantly above the national average. Crucially, 73% prioritize solutions offering seamless integration with EU-funded project management systems (Horizon Europe), directly aligning with our core product suite.</w:t>
      </w:r>
    </w:p>
    <w:bookmarkEnd w:id="21"/>
    <w:bookmarkStart w:id="22" w:name="iii.-sales-performance-analysis-q3-2023"/>
    <w:p>
      <w:pPr>
        <w:pStyle w:val="Heading2"/>
      </w:pPr>
      <w:r>
        <w:t xml:space="preserve">III. Sales Performance Analysis: Q3 2023</w:t>
      </w:r>
    </w:p>
    <w:p>
      <w:pPr>
        <w:pStyle w:val="FirstParagraph"/>
      </w:pPr>
      <w:r>
        <w:t xml:space="preserve">Our Berlin-based sales team achieved remarkable results through targeted engagement with Academic Researchers:</w:t>
      </w:r>
    </w:p>
    <w:p>
      <w:pPr>
        <w:numPr>
          <w:ilvl w:val="0"/>
          <w:numId w:val="1001"/>
        </w:numPr>
        <w:pStyle w:val="Compact"/>
      </w:pPr>
      <w:r>
        <w:rPr>
          <w:bCs/>
          <w:b/>
        </w:rPr>
        <w:t xml:space="preserve">Market Share Growth:</w:t>
      </w:r>
      <w:r>
        <w:t xml:space="preserve"> </w:t>
      </w:r>
      <w:r>
        <w:t xml:space="preserve">Increased from 14% to 19% in Berlin's academic software market, outperforming competitors by 32%</w:t>
      </w:r>
    </w:p>
    <w:p>
      <w:pPr>
        <w:numPr>
          <w:ilvl w:val="0"/>
          <w:numId w:val="1001"/>
        </w:numPr>
        <w:pStyle w:val="Compact"/>
      </w:pPr>
      <w:r>
        <w:t xml:space="preserve">Secured contracts with 27 major research groups at Freie Universität Berlin and Max Planck Institutes</w:t>
      </w:r>
    </w:p>
    <w:p>
      <w:pPr>
        <w:numPr>
          <w:ilvl w:val="0"/>
          <w:numId w:val="1001"/>
        </w:numPr>
        <w:pStyle w:val="Compact"/>
      </w:pPr>
      <w:r>
        <w:t xml:space="preserve">Data analytics modules saw 68% adoption rate among new Academic Researcher clients</w:t>
      </w:r>
    </w:p>
    <w:p>
      <w:pPr>
        <w:numPr>
          <w:ilvl w:val="0"/>
          <w:numId w:val="1001"/>
        </w:numPr>
        <w:pStyle w:val="Compact"/>
      </w:pPr>
      <w:r>
        <w:t xml:space="preserve">91% renewal rate from existing Academic Researcher accounts (vs. industry average of 78%)</w:t>
      </w:r>
    </w:p>
    <w:p>
      <w:pPr>
        <w:pStyle w:val="FirstParagraph"/>
      </w:pPr>
      <w:r>
        <w:t xml:space="preserve">The success stems from our Berlin-specific sales approach: we deploy local representatives who are themselves former Academic Researchers, enabling authentic dialogue about grant-writing challenges and institutional compliance requirements unique to Germany's research landscape.</w:t>
      </w:r>
    </w:p>
    <w:bookmarkEnd w:id="22"/>
    <w:bookmarkStart w:id="23" w:name="X0286279fd2a0cde86e692e68ae99e705ee4652b"/>
    <w:p>
      <w:pPr>
        <w:pStyle w:val="Heading2"/>
      </w:pPr>
      <w:r>
        <w:t xml:space="preserve">IV. Key Success Factors Driving Sales in Germany Berlin</w:t>
      </w:r>
    </w:p>
    <w:p>
      <w:pPr>
        <w:pStyle w:val="FirstParagraph"/>
      </w:pPr>
      <w:r>
        <w:t xml:space="preserve">Three strategic pillars underpin our performance:</w:t>
      </w:r>
    </w:p>
    <w:p>
      <w:pPr>
        <w:numPr>
          <w:ilvl w:val="0"/>
          <w:numId w:val="1002"/>
        </w:numPr>
        <w:pStyle w:val="Compact"/>
      </w:pPr>
      <w:r>
        <w:rPr>
          <w:bCs/>
          <w:b/>
        </w:rPr>
        <w:t xml:space="preserve">Cultural Alignment with Academic Researcher Workflow:</w:t>
      </w:r>
      <w:r>
        <w:t xml:space="preserve"> </w:t>
      </w:r>
      <w:r>
        <w:t xml:space="preserve">Our platform integrates with German university LMS systems (e.g., Moodle) and complies with DFG data sovereignty regulations—critical for Academic Researchers handling sensitive EU project data.</w:t>
      </w:r>
    </w:p>
    <w:p>
      <w:pPr>
        <w:numPr>
          <w:ilvl w:val="0"/>
          <w:numId w:val="1002"/>
        </w:numPr>
        <w:pStyle w:val="Compact"/>
      </w:pPr>
      <w:r>
        <w:rPr>
          <w:bCs/>
          <w:b/>
        </w:rPr>
        <w:t xml:space="preserve">Berlin-Specific Partnership Ecosystem:</w:t>
      </w:r>
      <w:r>
        <w:t xml:space="preserve"> </w:t>
      </w:r>
      <w:r>
        <w:t xml:space="preserve">Collaborations with Berlin's Research &amp; Innovation Network (BRIN) and the Einstein Foundation provide direct access to 5,200 Academic Researchers through targeted workshops at venues like the Berlin-Brandenburg Academy of Sciences.</w:t>
      </w:r>
    </w:p>
    <w:p>
      <w:pPr>
        <w:numPr>
          <w:ilvl w:val="0"/>
          <w:numId w:val="1002"/>
        </w:numPr>
        <w:pStyle w:val="Compact"/>
      </w:pPr>
      <w:r>
        <w:rPr>
          <w:bCs/>
          <w:b/>
        </w:rPr>
        <w:t xml:space="preserve">Solution Tailored for German Research Culture:</w:t>
      </w:r>
      <w:r>
        <w:t xml:space="preserve"> </w:t>
      </w:r>
      <w:r>
        <w:t xml:space="preserve">Unlike generic tools, our product features dual-language support (German/English) and includes compliance modules for Germany's strict data protection laws (DSGVO), addressing pain points identified in 89% of Academic Researchers during sales consultations.</w:t>
      </w:r>
    </w:p>
    <w:bookmarkEnd w:id="23"/>
    <w:bookmarkStart w:id="24" w:name="v.-challenges-and-market-insights"/>
    <w:p>
      <w:pPr>
        <w:pStyle w:val="Heading2"/>
      </w:pPr>
      <w:r>
        <w:t xml:space="preserve">V. Challenges and Market Insights</w:t>
      </w:r>
    </w:p>
    <w:p>
      <w:pPr>
        <w:pStyle w:val="FirstParagraph"/>
      </w:pPr>
      <w:r>
        <w:t xml:space="preserve">Despite strong growth, we identified critical challenges requiring immediate strategy adjustment:</w:t>
      </w:r>
    </w:p>
    <w:p>
      <w:pPr>
        <w:numPr>
          <w:ilvl w:val="0"/>
          <w:numId w:val="1003"/>
        </w:numPr>
        <w:pStyle w:val="Compact"/>
      </w:pPr>
      <w:r>
        <w:rPr>
          <w:bCs/>
          <w:b/>
        </w:rPr>
        <w:t xml:space="preserve">Budget Constraints in Public Research:</w:t>
      </w:r>
      <w:r>
        <w:t xml:space="preserve"> </w:t>
      </w:r>
      <w:r>
        <w:t xml:space="preserve">41% of Academic Researchers report reduced procurement budgets due to federal funding fluctuations. This necessitates tiered pricing for small research groups.</w:t>
      </w:r>
    </w:p>
    <w:p>
      <w:pPr>
        <w:numPr>
          <w:ilvl w:val="0"/>
          <w:numId w:val="1003"/>
        </w:numPr>
        <w:pStyle w:val="Compact"/>
      </w:pPr>
      <w:r>
        <w:rPr>
          <w:bCs/>
          <w:b/>
        </w:rPr>
        <w:t xml:space="preserve">Competition from Local Providers:</w:t>
      </w:r>
      <w:r>
        <w:t xml:space="preserve"> </w:t>
      </w:r>
      <w:r>
        <w:t xml:space="preserve">Berlin-based startups like "DataScienceBerlin" offer lower-cost alternatives targeting budget-conscious Academic Researchers, capturing 12% market share in price-sensitive segments.</w:t>
      </w:r>
    </w:p>
    <w:p>
      <w:pPr>
        <w:numPr>
          <w:ilvl w:val="0"/>
          <w:numId w:val="1003"/>
        </w:numPr>
        <w:pStyle w:val="Compact"/>
      </w:pPr>
      <w:r>
        <w:rPr>
          <w:bCs/>
          <w:b/>
        </w:rPr>
        <w:t xml:space="preserve">Emerging Technology Demand:</w:t>
      </w:r>
      <w:r>
        <w:t xml:space="preserve"> </w:t>
      </w:r>
      <w:r>
        <w:t xml:space="preserve">63% of surveyed Academic Researchers requested AI-assisted literature analysis features—currently absent in our core offering.</w:t>
      </w:r>
    </w:p>
    <w:p>
      <w:pPr>
        <w:pStyle w:val="FirstParagraph"/>
      </w:pPr>
      <w:r>
        <w:t xml:space="preserve">Germany Berlin's academic landscape reveals a critical trend: Research funding increasingly prioritizes collaborative projects. Our sales data indicates that Academic Researchers leading cross-institutional teams (e.g., Berlin-Brandenburg Joint Research Groups) account for 68% of high-value contracts (&gt;€50,000), suggesting we should restructure sales teams to target principal investigators specifically.</w:t>
      </w:r>
    </w:p>
    <w:bookmarkEnd w:id="24"/>
    <w:bookmarkStart w:id="25" w:name="vi.-strategic-recommendations"/>
    <w:p>
      <w:pPr>
        <w:pStyle w:val="Heading2"/>
      </w:pPr>
      <w:r>
        <w:t xml:space="preserve">VI. Strategic Recommendations</w:t>
      </w:r>
    </w:p>
    <w:p>
      <w:pPr>
        <w:pStyle w:val="FirstParagraph"/>
      </w:pPr>
      <w:r>
        <w:t xml:space="preserve">To solidify leadership in the Germany Berlin academic research market, we propose:</w:t>
      </w:r>
    </w:p>
    <w:p>
      <w:pPr>
        <w:numPr>
          <w:ilvl w:val="0"/>
          <w:numId w:val="1004"/>
        </w:numPr>
        <w:pStyle w:val="Compact"/>
      </w:pPr>
      <w:r>
        <w:rPr>
          <w:bCs/>
          <w:b/>
        </w:rPr>
        <w:t xml:space="preserve">Launch "Berlin Research Accelerator" Program:</w:t>
      </w:r>
      <w:r>
        <w:t xml:space="preserve"> </w:t>
      </w:r>
      <w:r>
        <w:t xml:space="preserve">A subsidized pilot for Academic Researchers at new universities (e.g., Berlin International University of Applied Sciences), including 12 months of premium support. Projected to generate €350k in new revenue within 6 months.</w:t>
      </w:r>
    </w:p>
    <w:p>
      <w:pPr>
        <w:numPr>
          <w:ilvl w:val="0"/>
          <w:numId w:val="1004"/>
        </w:numPr>
        <w:pStyle w:val="Compact"/>
      </w:pPr>
      <w:r>
        <w:rPr>
          <w:bCs/>
          <w:b/>
        </w:rPr>
        <w:t xml:space="preserve">Develop EU Horizon Compliance Suite:</w:t>
      </w:r>
      <w:r>
        <w:t xml:space="preserve"> </w:t>
      </w:r>
      <w:r>
        <w:t xml:space="preserve">Integrate mandatory Horizon Europe reporting features into our platform by Q2 2024, directly addressing the top request from Academic Researchers during sales cycles.</w:t>
      </w:r>
    </w:p>
    <w:p>
      <w:pPr>
        <w:numPr>
          <w:ilvl w:val="0"/>
          <w:numId w:val="1004"/>
        </w:numPr>
        <w:pStyle w:val="Compact"/>
      </w:pPr>
      <w:r>
        <w:rPr>
          <w:bCs/>
          <w:b/>
        </w:rPr>
        <w:t xml:space="preserve">Create Berlin Researcher Ambassador Network:</w:t>
      </w:r>
      <w:r>
        <w:t xml:space="preserve"> </w:t>
      </w:r>
      <w:r>
        <w:t xml:space="preserve">Recruit 50 influential Academic Researchers as brand advocates through exclusive access to beta features. This peer-driven approach has proven effective in increasing conversion rates by 27% in pilot tests.</w:t>
      </w:r>
    </w:p>
    <w:p>
      <w:pPr>
        <w:numPr>
          <w:ilvl w:val="0"/>
          <w:numId w:val="1004"/>
        </w:numPr>
        <w:pStyle w:val="Compact"/>
      </w:pPr>
      <w:r>
        <w:rPr>
          <w:bCs/>
          <w:b/>
        </w:rPr>
        <w:t xml:space="preserve">Implement Tiered Pricing Model:</w:t>
      </w:r>
      <w:r>
        <w:t xml:space="preserve"> </w:t>
      </w:r>
      <w:r>
        <w:t xml:space="preserve">Introduce a "Research Group" tier (€4,990/year) for teams of 3-5 Academic Researchers, countering competition from low-cost local vendors.</w:t>
      </w:r>
    </w:p>
    <w:bookmarkEnd w:id="25"/>
    <w:bookmarkStart w:id="26" w:name="vii.-conclusion"/>
    <w:p>
      <w:pPr>
        <w:pStyle w:val="Heading2"/>
      </w:pPr>
      <w:r>
        <w:t xml:space="preserve">VII. Conclusion</w:t>
      </w:r>
    </w:p>
    <w:p>
      <w:pPr>
        <w:pStyle w:val="FirstParagraph"/>
      </w:pPr>
      <w:r>
        <w:t xml:space="preserve">The Academic Researcher segment in Germany Berlin represents our most promising growth avenue. Our Q3 performance confirms that deep cultural understanding—combined with technical compliance to German academic standards—is the decisive differentiator. As we position for 2024, the Sales Report underscores an urgent opportunity: capitalizing on Berlin's role as Europe's innovation hub requires embedding ourselves within its research ecosystem at every level. By centering our strategy around the specific needs of Academic Researchers rather than generic "university sales," we project a 35% revenue increase in this segment by Q2 2024. We recommend immediate allocation of resources to the Berlin-based academic solutions team to maintain our leadership position in Germany's most dynamic research market.</w:t>
      </w:r>
    </w:p>
    <w:p>
      <w:pPr>
        <w:pStyle w:val="BodyText"/>
      </w:pPr>
      <w:r>
        <w:rPr>
          <w:bCs/>
          <w:b/>
        </w:rPr>
        <w:t xml:space="preserve">Prepared By:</w:t>
      </w:r>
      <w:r>
        <w:t xml:space="preserve"> </w:t>
      </w:r>
      <w:r>
        <w:t xml:space="preserve">Lena Schmidt, Senior Sales Strategist</w:t>
      </w:r>
      <w:r>
        <w:br/>
      </w:r>
      <w:r>
        <w:rPr>
          <w:bCs/>
          <w:b/>
        </w:rPr>
        <w:t xml:space="preserve">Department:</w:t>
      </w:r>
      <w:r>
        <w:t xml:space="preserve"> </w:t>
      </w:r>
      <w:r>
        <w:t xml:space="preserve">Academic Solutions Division, Berlin Office</w:t>
      </w:r>
      <w:r>
        <w:br/>
      </w:r>
      <w:r>
        <w:rPr>
          <w:bCs/>
          <w:b/>
        </w:rPr>
        <w:t xml:space="preserve">Contact:</w:t>
      </w:r>
      <w:r>
        <w:t xml:space="preserve"> </w:t>
      </w:r>
      <w:r>
        <w:t xml:space="preserve">l.schmidt@berlinresearch.com | +49 30 1234567</w:t>
      </w:r>
    </w:p>
    <w:p>
      <w:pPr>
        <w:pStyle w:val="BodyText"/>
      </w:pPr>
      <w:r>
        <w:rPr>
          <w:iCs/>
          <w:i/>
        </w:rPr>
        <w:t xml:space="preserve">This Sales Report is confidential and intended solely for internal use by Berlin Research Solutions GmbH. Distribution requires written authorization.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 Germany Berlin</dc:title>
  <dc:creator/>
  <dc:language>en</dc:language>
  <cp:keywords/>
  <dcterms:created xsi:type="dcterms:W3CDTF">2026-07-21T07:31:01Z</dcterms:created>
  <dcterms:modified xsi:type="dcterms:W3CDTF">2026-07-21T07:31:01Z</dcterms:modified>
</cp:coreProperties>
</file>

<file path=docProps/custom.xml><?xml version="1.0" encoding="utf-8"?>
<Properties xmlns="http://schemas.openxmlformats.org/officeDocument/2006/custom-properties" xmlns:vt="http://schemas.openxmlformats.org/officeDocument/2006/docPropsVTypes"/>
</file>