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Germany</w:t>
      </w:r>
      <w:r>
        <w:t xml:space="preserve"> </w:t>
      </w:r>
      <w:r>
        <w:t xml:space="preserve">Frankfurt</w:t>
      </w:r>
    </w:p>
    <w:bookmarkStart w:id="31" w:name="X45a3bcd273bae19c8bc1359c9193ffce1288ce7"/>
    <w:p>
      <w:pPr>
        <w:pStyle w:val="Heading1"/>
      </w:pPr>
      <w:r>
        <w:t xml:space="preserve">ANNUAL SALES REPORT: ACADEMIC RESEARCHER ENGAGEMENT AND COMMERCIAL EXCELLENCE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Frankfurt Research Management Board |</w:t>
      </w:r>
      <w:r>
        <w:t xml:space="preserve"> </w:t>
      </w:r>
      <w:r>
        <w:rPr>
          <w:bCs/>
          <w:b/>
        </w:rPr>
        <w:t xml:space="preserve">Report Period:</w:t>
      </w:r>
      <w:r>
        <w:t xml:space="preserve"> </w:t>
      </w:r>
      <w:r>
        <w:t xml:space="preserve">January 1 - December 31, 2023</w:t>
      </w:r>
    </w:p>
    <w:p>
      <w:pPr>
        <w:pStyle w:val="BodyText"/>
      </w:pPr>
      <w:r>
        <w:t xml:space="preserve">This comprehensive Sales Report details the commercial engagement and strategic value delivered by Academic Researchers within the Frankfurt research ecosystem. As a pivotal hub for innovation in Germany, Frankfurt's academic institutions have demonstrated exceptional capability in translating research into market-ready solutions. This report specifically examines how Academic Researchers have driven sales performance through industry partnerships, grant acquisition, and intellectual property commercialization across key sectors including finance, biotechnology, and sustainable technology.</w:t>
      </w:r>
    </w:p>
    <w:bookmarkStart w:id="20" w:name="X16a5e382d5a3fe05a30669dfb95747f8b17d610"/>
    <w:p>
      <w:pPr>
        <w:pStyle w:val="Heading2"/>
      </w:pPr>
      <w:r>
        <w:t xml:space="preserve">Executive Summary: Driving Value Through Research-Driven Sales</w:t>
      </w:r>
    </w:p>
    <w:p>
      <w:pPr>
        <w:pStyle w:val="FirstParagraph"/>
      </w:pPr>
      <w:r>
        <w:t xml:space="preserve">The Frankfurt academic research community has achieved unprecedented sales performance in 2023, generating €47.8 million in direct revenue through industry partnerships and commercialized research outputs. This represents a 19% year-over-year growth, significantly outperforming the national average of 8.5%. Central to this success is the strategic deployment of Academic Researchers who bridge academic excellence with market demands in Germany Frankfurt.</w:t>
      </w:r>
    </w:p>
    <w:p>
      <w:pPr>
        <w:pStyle w:val="BodyText"/>
      </w:pPr>
      <w:r>
        <w:rPr>
          <w:bCs/>
          <w:b/>
        </w:rPr>
        <w:t xml:space="preserve">Key Metric:</w:t>
      </w:r>
      <w:r>
        <w:t xml:space="preserve"> </w:t>
      </w:r>
      <w:r>
        <w:t xml:space="preserve">Academic Researchers directly contributed to 73% of all research-related sales in Frankfurt, demonstrating their indispensable role as commercial catalysts. Their unique position—combining deep technical expertise with industry insight—has transformed traditional academic output into a high-value sales pipeline.</w:t>
      </w:r>
    </w:p>
    <w:p>
      <w:pPr>
        <w:pStyle w:val="BodyText"/>
      </w:pPr>
      <w:r>
        <w:t xml:space="preserve">Notably, Frankfurt's proximity to Europe's financial capital has enabled Academic Researchers to develop specialized sales approaches for finance-focused industries, resulting in 32% of total revenue from fintech and sustainable finance partnerships. This aligns perfectly with Frankfurt's identity as Germany's economic engine.</w:t>
      </w:r>
    </w:p>
    <w:bookmarkEnd w:id="20"/>
    <w:bookmarkStart w:id="24" w:name="X2693e72ee04d356062a89b5c5fae1b9a99a8ff0"/>
    <w:p>
      <w:pPr>
        <w:pStyle w:val="Heading2"/>
      </w:pPr>
      <w:r>
        <w:t xml:space="preserve">Market Analysis: Frankfurt's Unique Sales Landscape</w:t>
      </w:r>
    </w:p>
    <w:p>
      <w:pPr>
        <w:pStyle w:val="FirstParagraph"/>
      </w:pPr>
      <w:r>
        <w:t xml:space="preserve">Frankfurt's position as Germany's commercial capital creates a distinct sales environment for Academic Researchers. The city hosts 58% of Germany's top financial institutions, creating fertile ground for research commercialization. Our analysis reveals three critical market dynamics:</w:t>
      </w:r>
    </w:p>
    <w:bookmarkStart w:id="21" w:name="industry-academia-synergy"/>
    <w:p>
      <w:pPr>
        <w:pStyle w:val="Heading3"/>
      </w:pPr>
      <w:r>
        <w:t xml:space="preserve">1. Industry-Academia Synergy</w:t>
      </w:r>
    </w:p>
    <w:p>
      <w:pPr>
        <w:pStyle w:val="FirstParagraph"/>
      </w:pPr>
      <w:r>
        <w:t xml:space="preserve">Academic Researchers in Frankfurt have pioneered sales strategies that align with German industry priorities. For instance, partnerships with Deutsche Bank and Siemens Healthineers generated €12.3M in 2023 through joint research initiatives—directly attributable to researcher-led sales pitches demonstrating technical feasibility and market relevance.</w:t>
      </w:r>
    </w:p>
    <w:bookmarkEnd w:id="21"/>
    <w:bookmarkStart w:id="22" w:name="regulatory-advantage"/>
    <w:p>
      <w:pPr>
        <w:pStyle w:val="Heading3"/>
      </w:pPr>
      <w:r>
        <w:t xml:space="preserve">2. Regulatory Advantage</w:t>
      </w:r>
    </w:p>
    <w:p>
      <w:pPr>
        <w:pStyle w:val="FirstParagraph"/>
      </w:pPr>
      <w:r>
        <w:t xml:space="preserve">German regulatory frameworks (particularly GDPR-compliant data analytics) have been leveraged by Academic Researchers to create proprietary sales propositions. A recent case study at Goethe University demonstrated how researcher expertise in data privacy protocols secured a €5.6M contract with a major European healthcare provider—a deal that would have stalled without specialized research credentials.</w:t>
      </w:r>
    </w:p>
    <w:bookmarkEnd w:id="22"/>
    <w:bookmarkStart w:id="23" w:name="cross-border-opportunities"/>
    <w:p>
      <w:pPr>
        <w:pStyle w:val="Heading3"/>
      </w:pPr>
      <w:r>
        <w:t xml:space="preserve">3. Cross-Border Opportunities</w:t>
      </w:r>
    </w:p>
    <w:p>
      <w:pPr>
        <w:pStyle w:val="FirstParagraph"/>
      </w:pPr>
      <w:r>
        <w:t xml:space="preserve">The Frankfurt airport hub enables Academic Researchers to rapidly scale sales across Europe. This was evident in the 2023 expansion of a biotechnology researcher's contract into Switzerland and the Netherlands, generating €8.9M in additional revenue through localized sales strategies developed by Frankfurt-based academics.</w:t>
      </w:r>
    </w:p>
    <w:bookmarkEnd w:id="23"/>
    <w:bookmarkEnd w:id="24"/>
    <w:bookmarkStart w:id="25" w:name="Xe9f33e86b30c178a06e49f6a9068202f332229f"/>
    <w:p>
      <w:pPr>
        <w:pStyle w:val="Heading2"/>
      </w:pPr>
      <w:r>
        <w:t xml:space="preserve">Performance Breakdown: Academic Researcher Contributions</w:t>
      </w:r>
    </w:p>
    <w:p>
      <w:pPr>
        <w:pStyle w:val="FirstParagraph"/>
      </w:pPr>
      <w:r>
        <w:t xml:space="preserve">Our data reveals that Academic Researchers function as dual-purpose assets—driving both scientific innovation and commercial revenue.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Value</w:t>
            </w:r>
          </w:p>
        </w:tc>
        <w:tc>
          <w:tcPr/>
          <w:p>
            <w:pPr>
              <w:pStyle w:val="Compact"/>
              <w:jc w:val="left"/>
            </w:pPr>
            <w:r>
              <w:t xml:space="preserve">YoY Change</w:t>
            </w:r>
          </w:p>
        </w:tc>
        <w:tc>
          <w:tcPr/>
          <w:p>
            <w:pPr>
              <w:pStyle w:val="Compact"/>
              <w:jc w:val="left"/>
            </w:pPr>
            <w:r>
              <w:t xml:space="preserve">Sales Impact Factor</w:t>
            </w:r>
          </w:p>
        </w:tc>
      </w:tr>
      <w:tr>
        <w:tc>
          <w:tcPr/>
          <w:p>
            <w:pPr>
              <w:pStyle w:val="Compact"/>
              <w:jc w:val="left"/>
            </w:pPr>
            <w:r>
              <w:t xml:space="preserve">Total Research-Linked Revenue (€)</w:t>
            </w:r>
          </w:p>
        </w:tc>
        <w:tc>
          <w:tcPr/>
          <w:p>
            <w:pPr>
              <w:pStyle w:val="Compact"/>
              <w:jc w:val="left"/>
            </w:pPr>
            <w:r>
              <w:t xml:space="preserve">47,800,000</w:t>
            </w:r>
          </w:p>
        </w:tc>
        <w:tc>
          <w:tcPr/>
          <w:p>
            <w:pPr>
              <w:pStyle w:val="Compact"/>
              <w:jc w:val="left"/>
            </w:pPr>
            <w:r>
              <w:t xml:space="preserve">+19%</w:t>
            </w:r>
          </w:p>
        </w:tc>
        <w:tc>
          <w:tcPr/>
          <w:p>
            <w:pPr>
              <w:pStyle w:val="Compact"/>
              <w:jc w:val="left"/>
            </w:pPr>
            <w:r>
              <w:t xml:space="preserve">73% directly researcher-driven</w:t>
            </w:r>
          </w:p>
        </w:tc>
      </w:tr>
      <w:tr>
        <w:tc>
          <w:tcPr/>
          <w:p>
            <w:pPr>
              <w:pStyle w:val="Compact"/>
              <w:jc w:val="left"/>
            </w:pPr>
            <w:r>
              <w:t xml:space="preserve">New Industry Partnerships Secured</w:t>
            </w:r>
          </w:p>
        </w:tc>
        <w:tc>
          <w:tcPr/>
          <w:p>
            <w:pPr>
              <w:pStyle w:val="Compact"/>
              <w:jc w:val="left"/>
            </w:pPr>
            <w:r>
              <w:t xml:space="preserve">47</w:t>
            </w:r>
          </w:p>
        </w:tc>
        <w:tc>
          <w:tcPr/>
          <w:p>
            <w:pPr>
              <w:pStyle w:val="Compact"/>
              <w:jc w:val="left"/>
            </w:pPr>
            <w:r>
              <w:t xml:space="preserve">+28%</w:t>
            </w:r>
          </w:p>
        </w:tc>
        <w:tc>
          <w:tcPr/>
          <w:p>
            <w:pPr>
              <w:pStyle w:val="Compact"/>
              <w:jc w:val="left"/>
            </w:pPr>
            <w:r>
              <w:t xml:space="preserve">Academic Researchers initiated 89% of new sales leads</w:t>
            </w:r>
          </w:p>
        </w:tc>
      </w:tr>
      <w:tr>
        <w:tc>
          <w:tcPr/>
          <w:p>
            <w:pPr>
              <w:pStyle w:val="Compact"/>
              <w:jc w:val="left"/>
            </w:pPr>
            <w:r>
              <w:t xml:space="preserve">IP Commercialization Revenue (€)</w:t>
            </w:r>
          </w:p>
        </w:tc>
        <w:tc>
          <w:tcPr/>
          <w:p>
            <w:pPr>
              <w:pStyle w:val="Compact"/>
              <w:jc w:val="left"/>
            </w:pPr>
            <w:r>
              <w:t xml:space="preserve">14,200,000</w:t>
            </w:r>
          </w:p>
        </w:tc>
        <w:tc>
          <w:tcPr/>
          <w:p>
            <w:pPr>
              <w:pStyle w:val="Compact"/>
              <w:jc w:val="left"/>
            </w:pPr>
            <w:r>
              <w:t xml:space="preserve">+23%</w:t>
            </w:r>
          </w:p>
        </w:tc>
        <w:tc>
          <w:tcPr/>
          <w:p>
            <w:pPr>
              <w:pStyle w:val="Compact"/>
              <w:jc w:val="left"/>
            </w:pPr>
            <w:r>
              <w:t xml:space="preserve">56% generated via researcher-led licensing</w:t>
            </w:r>
          </w:p>
        </w:tc>
      </w:tr>
    </w:tbl>
    <w:p>
      <w:pPr>
        <w:pStyle w:val="BodyText"/>
      </w:pPr>
      <w:r>
        <w:rPr>
          <w:bCs/>
          <w:b/>
        </w:rPr>
        <w:t xml:space="preserve">Case Study: Sustainable Finance Researcher's Sales Triumph:</w:t>
      </w:r>
      <w:r>
        <w:t xml:space="preserve"> </w:t>
      </w:r>
      <w:r>
        <w:t xml:space="preserve">An Academic Researcher at Frankfurt School of Finance &amp; Management developed a carbon credit valuation model that secured a €3.1M multi-year contract with DWS Group. This deal exemplifies how Frankfurt-based researchers convert academic rigor into immediate sales value, directly supporting Germany's climate goals while generating revenue.</w:t>
      </w:r>
    </w:p>
    <w:bookmarkEnd w:id="25"/>
    <w:bookmarkStart w:id="29" w:name="X2a15d0a6a92c57e9fc1635ca46bd3e31db9bf27"/>
    <w:p>
      <w:pPr>
        <w:pStyle w:val="Heading2"/>
      </w:pPr>
      <w:r>
        <w:t xml:space="preserve">Strategic Recommendations for Germany Frankfurt</w:t>
      </w:r>
    </w:p>
    <w:p>
      <w:pPr>
        <w:pStyle w:val="FirstParagraph"/>
      </w:pPr>
      <w:r>
        <w:t xml:space="preserve">To sustain this momentum, we recommend three targeted actions focused on enhancing Academic Researcher effectiveness in sales contexts across Germany Frankfurt:</w:t>
      </w:r>
    </w:p>
    <w:bookmarkStart w:id="26" w:name="sales-training-integration"/>
    <w:p>
      <w:pPr>
        <w:pStyle w:val="Heading3"/>
      </w:pPr>
      <w:r>
        <w:t xml:space="preserve">1. Sales Training Integration</w:t>
      </w:r>
    </w:p>
    <w:p>
      <w:pPr>
        <w:pStyle w:val="FirstParagraph"/>
      </w:pPr>
      <w:r>
        <w:t xml:space="preserve">Develop mandatory industry sales workshops for all Academic Researchers, co-designed with local corporations like Deutsche Börse and Hesse's Economic Development Agency. This would equip researchers to articulate commercial value during initial client engagement—addressing a critical gap identified in 82% of current partnership discussions.</w:t>
      </w:r>
    </w:p>
    <w:bookmarkEnd w:id="26"/>
    <w:bookmarkStart w:id="27" w:name="frankfurt-sales-innovation-fund"/>
    <w:p>
      <w:pPr>
        <w:pStyle w:val="Heading3"/>
      </w:pPr>
      <w:r>
        <w:t xml:space="preserve">2. Frankfurt Sales Innovation Fund</w:t>
      </w:r>
    </w:p>
    <w:p>
      <w:pPr>
        <w:pStyle w:val="FirstParagraph"/>
      </w:pPr>
      <w:r>
        <w:t xml:space="preserve">Create a €5M fund specifically for Academic Researchers to develop market-ready prototypes. This would accelerate the sales cycle from research concept to commercial product, leveraging Frankfurt's rapid prototyping infrastructure at the "Frankfurt Innovation Hub."</w:t>
      </w:r>
    </w:p>
    <w:bookmarkEnd w:id="27"/>
    <w:bookmarkStart w:id="28" w:name="cross-institutional-sales-network"/>
    <w:p>
      <w:pPr>
        <w:pStyle w:val="Heading3"/>
      </w:pPr>
      <w:r>
        <w:t xml:space="preserve">3. Cross-Institutional Sales Network</w:t>
      </w:r>
    </w:p>
    <w:p>
      <w:pPr>
        <w:pStyle w:val="FirstParagraph"/>
      </w:pPr>
      <w:r>
        <w:t xml:space="preserve">Establish a Frankfurt Academic Researcher Sales Council comprising Goethe University, Technical University of Darmstadt (adjacent to Frankfurt), and Fraunhofer Institutes. This network would share best practices in German market sales strategies, reducing redundant efforts across institutions while expanding collective revenue potential.</w:t>
      </w:r>
    </w:p>
    <w:bookmarkEnd w:id="28"/>
    <w:bookmarkEnd w:id="29"/>
    <w:bookmarkStart w:id="30" w:name="X8f8160303ddd18e0f3cdb2c0e9839a1f8399375"/>
    <w:p>
      <w:pPr>
        <w:pStyle w:val="Heading2"/>
      </w:pPr>
      <w:r>
        <w:t xml:space="preserve">Conclusion: The Academic Researcher as Frankfurt's Sales Imperative</w:t>
      </w:r>
    </w:p>
    <w:p>
      <w:pPr>
        <w:pStyle w:val="FirstParagraph"/>
      </w:pPr>
      <w:r>
        <w:t xml:space="preserve">The data is unequivocal: In Germany Frankfurt, Academic Researchers have evolved from traditional researchers to strategic sales drivers. Their ability to translate complex academic insights into marketable solutions has positioned the region as a European leader in research commercialization. As Frankfurt continues its trajectory as Germany's economic nexus, this Sales Report confirms that investing in Academic Researcher sales capabilities delivers exponential returns—not just for individual institutions but for the entire Frankfurt ecosystem.</w:t>
      </w:r>
    </w:p>
    <w:p>
      <w:pPr>
        <w:pStyle w:val="BodyText"/>
      </w:pPr>
      <w:r>
        <w:t xml:space="preserve">Looking ahead to 2024, we project €58M in research-linked revenue through enhanced Academic Researcher sales engagement. This growth will be anchored by Germany's commitment to the "Research 4 Industry" initiative—a national strategy where Frankfurt's academic sales model is now serving as the blueprint for all German university regions.</w:t>
      </w:r>
    </w:p>
    <w:p>
      <w:pPr>
        <w:pStyle w:val="BodyText"/>
      </w:pPr>
      <w:r>
        <w:rPr>
          <w:bCs/>
          <w:b/>
        </w:rPr>
        <w:t xml:space="preserve">Final Insight:</w:t>
      </w:r>
      <w:r>
        <w:t xml:space="preserve"> </w:t>
      </w:r>
      <w:r>
        <w:t xml:space="preserve">In the competitive landscape of global research commercialization, Frankfurt doesn't just participate—it leads. The Academic Researcher isn't merely a contributor to our Sales Report; they are the engine powering Germany's most successful research-to-market pipeline in Europe.</w:t>
      </w:r>
    </w:p>
    <w:p>
      <w:pPr>
        <w:pStyle w:val="BodyText"/>
      </w:pPr>
      <w:r>
        <w:t xml:space="preserve">Report Prepared by Frankfurt Research Commercialization Division | Confidential: For Internal Institutional Use Only</w:t>
      </w:r>
    </w:p>
    <w:p>
      <w:pPr>
        <w:pStyle w:val="BodyText"/>
      </w:pPr>
      <w:r>
        <w:t xml:space="preserve">© 2023 Frankfurt University Network |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in Germany Frankfurt</dc:title>
  <dc:creator/>
  <dc:language>en</dc:language>
  <cp:keywords/>
  <dcterms:created xsi:type="dcterms:W3CDTF">2026-07-23T16:04:37Z</dcterms:created>
  <dcterms:modified xsi:type="dcterms:W3CDTF">2026-07-23T16:04:37Z</dcterms:modified>
</cp:coreProperties>
</file>

<file path=docProps/custom.xml><?xml version="1.0" encoding="utf-8"?>
<Properties xmlns="http://schemas.openxmlformats.org/officeDocument/2006/custom-properties" xmlns:vt="http://schemas.openxmlformats.org/officeDocument/2006/docPropsVTypes"/>
</file>