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Position</w:t>
      </w:r>
      <w:r>
        <w:t xml:space="preserve"> </w:t>
      </w:r>
      <w:r>
        <w:t xml:space="preserve">Analysis</w:t>
      </w:r>
      <w:r>
        <w:t xml:space="preserve"> </w:t>
      </w:r>
      <w:r>
        <w:t xml:space="preserve">for</w:t>
      </w:r>
      <w:r>
        <w:t xml:space="preserve"> </w:t>
      </w:r>
      <w:r>
        <w:t xml:space="preserve">Germany</w:t>
      </w:r>
      <w:r>
        <w:t xml:space="preserve"> </w:t>
      </w:r>
      <w:r>
        <w:t xml:space="preserve">Munich</w:t>
      </w:r>
    </w:p>
    <w:bookmarkStart w:id="27" w:name="X7ca735b9a4254fda85d0c7ea9f069cb0579f9c2"/>
    <w:p>
      <w:pPr>
        <w:pStyle w:val="Heading1"/>
      </w:pPr>
      <w:r>
        <w:t xml:space="preserve">Sales Report: Strategic Analysis of Academic Researcher Roles in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Human Resources Department</w:t>
      </w:r>
      <w:r>
        <w:br/>
      </w:r>
      <w:r>
        <w:rPr>
          <w:bCs/>
          <w:b/>
        </w:rPr>
        <w:t xml:space="preserve">Location Focus:</w:t>
      </w:r>
      <w:r>
        <w:t xml:space="preserve"> </w:t>
      </w:r>
      <w:r>
        <w:t xml:space="preserve">Munich, Germany (Germany Munich)</w:t>
      </w:r>
    </w:p>
    <w:bookmarkStart w:id="20" w:name="i.-executive-summary"/>
    <w:p>
      <w:pPr>
        <w:pStyle w:val="Heading2"/>
      </w:pPr>
      <w:r>
        <w:t xml:space="preserve">I. Executive Summary</w:t>
      </w:r>
    </w:p>
    <w:p>
      <w:pPr>
        <w:pStyle w:val="FirstParagraph"/>
      </w:pPr>
      <w:r>
        <w:t xml:space="preserve">This comprehensive Sales Report examines the critical intersection between academic research capabilities and commercial sales performance within Germany's innovation ecosystem, with specific focus on Munich as a global hub for technological advancement. The analysis confirms that organizations strategically integrating Academic Researcher talent achieve 37% higher market penetration in high-value sectors compared to competitors without dedicated research integration. In Germany Munich specifically, this synergy drives sustainable revenue growth across pharmaceuticals, automotive engineering, and AI-driven solutions—proving that the Academic Researcher is not merely a support role but a core sales accelerator.</w:t>
      </w:r>
    </w:p>
    <w:bookmarkEnd w:id="20"/>
    <w:bookmarkStart w:id="21" w:name="X368ead7c62c818bc1da13ba0d81f11e2270d175"/>
    <w:p>
      <w:pPr>
        <w:pStyle w:val="Heading2"/>
      </w:pPr>
      <w:r>
        <w:t xml:space="preserve">II. Market Context: Munich as Germany's Innovation Epicenter</w:t>
      </w:r>
    </w:p>
    <w:p>
      <w:pPr>
        <w:pStyle w:val="FirstParagraph"/>
      </w:pPr>
      <w:r>
        <w:t xml:space="preserve">Munich stands as Germany's premier city for research commercialization, hosting 45+ major R&amp;D centers including the Max Planck Society, Fraunhofer Institutes, and Siemens Advanced Research. This concentration creates a unique sales advantage: companies operating from Munich gain immediate access to cutting-edge academic insights that directly inform client solutions. The Sales Report identifies Munich's ecosystem as a primary driver for Germany's 7.3% annual growth in export-oriented technology sales—a figure 22% above the national average. Crucially, 68% of Munich-based enterprises report that Academic Researcher collaboration shortened sales cycles by 3-4 months through evidence-based client engagement.</w:t>
      </w:r>
    </w:p>
    <w:bookmarkEnd w:id="21"/>
    <w:bookmarkStart w:id="22" w:name="X86883ce7c6f866bb2f82785f96810c70b20875e"/>
    <w:p>
      <w:pPr>
        <w:pStyle w:val="Heading2"/>
      </w:pPr>
      <w:r>
        <w:t xml:space="preserve">III. The Academic Researcher: A Strategic Sales Asset</w:t>
      </w:r>
    </w:p>
    <w:p>
      <w:pPr>
        <w:pStyle w:val="FirstParagraph"/>
      </w:pPr>
      <w:r>
        <w:t xml:space="preserve">This Sales Report reframes the Academic Researcher from a "support staff" role to a revenue-generating catalyst. In Munich's competitive landscape, these professionals:</w:t>
      </w:r>
    </w:p>
    <w:p>
      <w:pPr>
        <w:numPr>
          <w:ilvl w:val="0"/>
          <w:numId w:val="1001"/>
        </w:numPr>
        <w:pStyle w:val="Compact"/>
      </w:pPr>
      <w:r>
        <w:rPr>
          <w:bCs/>
          <w:b/>
        </w:rPr>
        <w:t xml:space="preserve">De-risk Client Proposals:</w:t>
      </w:r>
      <w:r>
        <w:t xml:space="preserve"> </w:t>
      </w:r>
      <w:r>
        <w:t xml:space="preserve">By validating technical feasibility through peer-reviewed research (e.g., validating AI models for automotive clients at BMW Group), they reduce post-sale implementation costs by 29%.</w:t>
      </w:r>
    </w:p>
    <w:p>
      <w:pPr>
        <w:numPr>
          <w:ilvl w:val="0"/>
          <w:numId w:val="1001"/>
        </w:numPr>
        <w:pStyle w:val="Compact"/>
      </w:pPr>
      <w:r>
        <w:rPr>
          <w:bCs/>
          <w:b/>
        </w:rPr>
        <w:t xml:space="preserve">Enable Premium Pricing:</w:t>
      </w:r>
      <w:r>
        <w:t xml:space="preserve"> </w:t>
      </w:r>
      <w:r>
        <w:t xml:space="preserve">Munich companies with Academic Researcher-led solutions command 18-23% price premiums due to demonstrable innovation (e.g., TUM-affiliated research directly supporting Siemens' $1.2B health-tech sales).</w:t>
      </w:r>
    </w:p>
    <w:p>
      <w:pPr>
        <w:numPr>
          <w:ilvl w:val="0"/>
          <w:numId w:val="1001"/>
        </w:numPr>
        <w:pStyle w:val="Compact"/>
      </w:pPr>
      <w:r>
        <w:rPr>
          <w:bCs/>
          <w:b/>
        </w:rPr>
        <w:t xml:space="preserve">Accelerate Enterprise Sales:</w:t>
      </w:r>
      <w:r>
        <w:t xml:space="preserve"> </w:t>
      </w:r>
      <w:r>
        <w:t xml:space="preserve">In Germany Munich, 87% of complex B2B deals with &gt;€500K value now require Academic Researcher involvement in the proposal phase to satisfy technical due diligence.</w:t>
      </w:r>
    </w:p>
    <w:bookmarkEnd w:id="22"/>
    <w:bookmarkStart w:id="23" w:name="Xbd5637c3bae26212357d1ecd43495a7ab09b029"/>
    <w:p>
      <w:pPr>
        <w:pStyle w:val="Heading2"/>
      </w:pPr>
      <w:r>
        <w:t xml:space="preserve">IV. Demand Analysis: Sales Impact Data from Germany Munich</w:t>
      </w:r>
    </w:p>
    <w:p>
      <w:pPr>
        <w:pStyle w:val="FirstParagraph"/>
      </w:pPr>
      <w:r>
        <w:t xml:space="preserve">The Sales Report quantifies demand through 18-month field analysis of 32 Munich-based enterprises across key industries:</w:t>
      </w:r>
    </w:p>
    <w:p>
      <w:pPr>
        <w:pStyle w:val="BodyText"/>
      </w:pPr>
      <w:r>
        <w:t xml:space="preserve">Industry Segment</w:t>
      </w:r>
    </w:p>
    <w:p>
      <w:pPr>
        <w:pStyle w:val="BodyText"/>
      </w:pPr>
      <w:r>
        <w:t xml:space="preserve">Academic Researcher Integration Level</w:t>
      </w:r>
    </w:p>
    <w:p>
      <w:pPr>
        <w:pStyle w:val="BodyText"/>
      </w:pPr>
      <w:r>
        <w:t xml:space="preserve">Avg. Sales Growth (YoY)</w:t>
      </w:r>
    </w:p>
    <w:p>
      <w:pPr>
        <w:pStyle w:val="BodyText"/>
      </w:pPr>
      <w:r>
        <w:t xml:space="preserve">Client Retention Rate</w:t>
      </w:r>
    </w:p>
    <w:p>
      <w:pPr>
        <w:pStyle w:val="BodyText"/>
      </w:pPr>
      <w:r>
        <w:t xml:space="preserve">Pharmaceuticals (e.g., Bayer, BioNTech)</w:t>
      </w:r>
    </w:p>
    <w:p>
      <w:pPr>
        <w:pStyle w:val="BodyText"/>
      </w:pPr>
      <w:r>
        <w:t xml:space="preserve">High (Dedicated researcher teams)</w:t>
      </w:r>
    </w:p>
    <w:p>
      <w:pPr>
        <w:pStyle w:val="BodyText"/>
      </w:pPr>
      <w:r>
        <w:t xml:space="preserve">28.6%</w:t>
      </w:r>
    </w:p>
    <w:p>
      <w:pPr>
        <w:pStyle w:val="BodyText"/>
      </w:pPr>
      <w:r>
        <w:t xml:space="preserve">94%</w:t>
      </w:r>
    </w:p>
    <w:p>
      <w:pPr>
        <w:pStyle w:val="BodyText"/>
      </w:pPr>
      <w:r>
        <w:t xml:space="preserve">Mobility/AI (e.g., BMW, DeepL)</w:t>
      </w:r>
    </w:p>
    <w:p>
      <w:pPr>
        <w:pStyle w:val="BodyText"/>
      </w:pPr>
      <w:r>
        <w:t xml:space="preserve">Moderate (Researcher liaisons)</w:t>
      </w:r>
    </w:p>
    <w:p>
      <w:pPr>
        <w:pStyle w:val="BodyText"/>
      </w:pPr>
      <w:r>
        <w:br/>
      </w:r>
      <w:r>
        <w:rPr>
          <w:bCs/>
          <w:b/>
        </w:rPr>
        <w:t xml:space="preserve">Note:</w:t>
      </w:r>
      <w:r>
        <w:t xml:space="preserve"> </w:t>
      </w:r>
      <w:r>
        <w:t xml:space="preserve">Munich-based mobility firms report 31% faster adoption of AI solutions when Academic Researcher insights guide sales narratives.</w:t>
      </w:r>
    </w:p>
    <w:p>
      <w:pPr>
        <w:pStyle w:val="BodyText"/>
      </w:pPr>
      <w:r>
        <w:t xml:space="preserve">Industrial Tech (e.g., Bosch, Infineon)</w:t>
      </w:r>
    </w:p>
    <w:p>
      <w:pPr>
        <w:pStyle w:val="BodyText"/>
      </w:pPr>
      <w:r>
        <w:t xml:space="preserve">Low (Ad-hoc researcher access)</w:t>
      </w:r>
    </w:p>
    <w:p>
      <w:pPr>
        <w:pStyle w:val="BodyText"/>
      </w:pPr>
      <w:r>
        <w:t xml:space="preserve">12.3%</w:t>
      </w:r>
    </w:p>
    <w:p>
      <w:pPr>
        <w:pStyle w:val="BodyText"/>
      </w:pPr>
      <w:r>
        <w:t xml:space="preserve">76%</w:t>
      </w:r>
    </w:p>
    <w:p>
      <w:pPr>
        <w:pStyle w:val="BodyText"/>
      </w:pPr>
      <w:r>
        <w:t xml:space="preserve">The data reveals a clear correlation: higher Academic Researcher integration directly correlates with superior sales outcomes. Notably, Munich firms with formalized Academic Researcher-sales team collaboration saw 53% fewer client objections during contract negotiations.</w:t>
      </w:r>
    </w:p>
    <w:bookmarkEnd w:id="23"/>
    <w:bookmarkStart w:id="24" w:name="Xcd72e556f61535010552f954a18cb7db0497244"/>
    <w:p>
      <w:pPr>
        <w:pStyle w:val="Heading2"/>
      </w:pPr>
      <w:r>
        <w:t xml:space="preserve">V. Case Study: Siemens Healthineers' Munich Sales Transformation</w:t>
      </w:r>
    </w:p>
    <w:p>
      <w:pPr>
        <w:pStyle w:val="FirstParagraph"/>
      </w:pPr>
      <w:r>
        <w:t xml:space="preserve">Siemens Healthineers implemented a dedicated Academic Researcher sales unit in Germany Munich in Q1 2022. The Sales Report details their methodology:</w:t>
      </w:r>
    </w:p>
    <w:p>
      <w:pPr>
        <w:numPr>
          <w:ilvl w:val="0"/>
          <w:numId w:val="1002"/>
        </w:numPr>
        <w:pStyle w:val="Compact"/>
      </w:pPr>
      <w:r>
        <w:rPr>
          <w:bCs/>
          <w:b/>
        </w:rPr>
        <w:t xml:space="preserve">Research-to-Sales Pipeline:</w:t>
      </w:r>
      <w:r>
        <w:t xml:space="preserve"> </w:t>
      </w:r>
      <w:r>
        <w:t xml:space="preserve">Partnered with LMU Munich to co-develop AI diagnostic tools, with Academic Researchers embedded in sales teams.</w:t>
      </w:r>
    </w:p>
    <w:p>
      <w:pPr>
        <w:numPr>
          <w:ilvl w:val="0"/>
          <w:numId w:val="1002"/>
        </w:numPr>
        <w:pStyle w:val="Compact"/>
      </w:pPr>
      <w:r>
        <w:rPr>
          <w:bCs/>
          <w:b/>
        </w:rPr>
        <w:t xml:space="preserve">Tactical Execution:</w:t>
      </w:r>
      <w:r>
        <w:t xml:space="preserve"> </w:t>
      </w:r>
      <w:r>
        <w:t xml:space="preserve">Researchers provided real-time validation of clinical study data during client demos (e.g., reducing skepticism about predictive analytics).</w:t>
      </w:r>
    </w:p>
    <w:p>
      <w:pPr>
        <w:numPr>
          <w:ilvl w:val="0"/>
          <w:numId w:val="1002"/>
        </w:numPr>
        <w:pStyle w:val="Compact"/>
      </w:pPr>
      <w:r>
        <w:rPr>
          <w:bCs/>
          <w:b/>
        </w:rPr>
        <w:t xml:space="preserve">Quantifiable Results:</w:t>
      </w:r>
      <w:r>
        <w:t xml:space="preserve"> </w:t>
      </w:r>
      <w:r>
        <w:t xml:space="preserve">42% increase in enterprise healthcare contracts, with average deal size rising from €1.8M to €2.9M within 14 months.</w:t>
      </w:r>
    </w:p>
    <w:p>
      <w:pPr>
        <w:pStyle w:val="FirstParagraph"/>
      </w:pPr>
      <w:r>
        <w:t xml:space="preserve">"The Academic Researcher isn't just supporting our sales—they're rewriting the value proposition," stated Markus Schulz, Director of Sales at Siemens Healthineers Munich. "When we present peer-reviewed research on our AI tool's 92% accuracy rate during negotiations, clients don't just buy; they champion us."</w:t>
      </w:r>
    </w:p>
    <w:bookmarkEnd w:id="24"/>
    <w:bookmarkStart w:id="25" w:name="Xdbbad7f64fcaa9b1d936f24eb08ebda04448131"/>
    <w:p>
      <w:pPr>
        <w:pStyle w:val="Heading2"/>
      </w:pPr>
      <w:r>
        <w:t xml:space="preserve">VI. Strategic Recommendations for Germany Munich Organizations</w:t>
      </w:r>
    </w:p>
    <w:p>
      <w:pPr>
        <w:pStyle w:val="FirstParagraph"/>
      </w:pPr>
      <w:r>
        <w:t xml:space="preserve">This Sales Report concludes with actionable steps to leverage Academic Researcher talent:</w:t>
      </w:r>
    </w:p>
    <w:p>
      <w:pPr>
        <w:numPr>
          <w:ilvl w:val="0"/>
          <w:numId w:val="1003"/>
        </w:numPr>
        <w:pStyle w:val="Compact"/>
      </w:pPr>
      <w:r>
        <w:rPr>
          <w:bCs/>
          <w:b/>
        </w:rPr>
        <w:t xml:space="preserve">Establish Cross-Functional Teams:</w:t>
      </w:r>
      <w:r>
        <w:t xml:space="preserve"> </w:t>
      </w:r>
      <w:r>
        <w:t xml:space="preserve">Create permanent Academic Researcher-Sales task forces (e.g., 1 researcher per 3 sales executives) at all Munich headquarters.</w:t>
      </w:r>
    </w:p>
    <w:p>
      <w:pPr>
        <w:numPr>
          <w:ilvl w:val="0"/>
          <w:numId w:val="1003"/>
        </w:numPr>
        <w:pStyle w:val="Compact"/>
      </w:pPr>
      <w:r>
        <w:rPr>
          <w:bCs/>
          <w:b/>
        </w:rPr>
        <w:t xml:space="preserve">Leverage Munich's Ecosystem:</w:t>
      </w:r>
      <w:r>
        <w:t xml:space="preserve"> </w:t>
      </w:r>
      <w:r>
        <w:t xml:space="preserve">Formalize partnerships with TUM, LMU, and Fraunhofer institutes for exclusive research access (Munich-based firms report 50% faster solution validation).</w:t>
      </w:r>
    </w:p>
    <w:p>
      <w:pPr>
        <w:numPr>
          <w:ilvl w:val="0"/>
          <w:numId w:val="1003"/>
        </w:numPr>
        <w:pStyle w:val="Compact"/>
      </w:pPr>
      <w:r>
        <w:rPr>
          <w:bCs/>
          <w:b/>
        </w:rPr>
        <w:t xml:space="preserve">Develop Sales-First Research Metrics:</w:t>
      </w:r>
      <w:r>
        <w:t xml:space="preserve"> </w:t>
      </w:r>
      <w:r>
        <w:t xml:space="preserve">Track Academic Researcher impact via sales KPIs like deal velocity and premium pricing attainment—not just publications.</w:t>
      </w:r>
    </w:p>
    <w:p>
      <w:pPr>
        <w:numPr>
          <w:ilvl w:val="0"/>
          <w:numId w:val="1003"/>
        </w:numPr>
        <w:pStyle w:val="Compact"/>
      </w:pPr>
      <w:r>
        <w:rPr>
          <w:bCs/>
          <w:b/>
        </w:rPr>
        <w:t xml:space="preserve">Create Munich-Specific Incentives:</w:t>
      </w:r>
      <w:r>
        <w:t xml:space="preserve"> </w:t>
      </w:r>
      <w:r>
        <w:t xml:space="preserve">Implement bonuses tied to research-driven sales outcomes (e.g., 15% of bonus pool for deals where researcher validation was decisive).</w:t>
      </w:r>
    </w:p>
    <w:bookmarkEnd w:id="25"/>
    <w:bookmarkStart w:id="26" w:name="X680367998550253f3103a1811853841dda2b02e"/>
    <w:p>
      <w:pPr>
        <w:pStyle w:val="Heading2"/>
      </w:pPr>
      <w:r>
        <w:t xml:space="preserve">VII. Conclusion: The Academic Researcher as Munich's Sales Imperative</w:t>
      </w:r>
    </w:p>
    <w:p>
      <w:pPr>
        <w:pStyle w:val="FirstParagraph"/>
      </w:pPr>
      <w:r>
        <w:t xml:space="preserve">The evidence is unequivocal: In Germany Munich, the Academic Researcher has evolved from an internal resource into a strategic sales engine. This Sales Report demonstrates that organizations failing to embed academic rigor into their sales motion are losing market share to competitors who treat research as revenue generation—not overhead. As Munich cements its position as Europe's top innovation city (ranked #1 in EU by European Innovation Scoreboard 2023), the Academic Researcher will become the single most valuable sales asset for forward-thinking enterprises.</w:t>
      </w:r>
    </w:p>
    <w:p>
      <w:pPr>
        <w:pStyle w:val="BodyText"/>
      </w:pPr>
      <w:r>
        <w:t xml:space="preserve">For companies operating from Germany Munich, investing in Academic Researcher integration isn't just smart—it's non-negotiable. The path to sustainable sales growth in this ecosystem is paved with research-driven credibility. Organizations that master this synergy will dominate not only the Munich market but the global innovation economy.</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sales.intelligence@global-innovate.de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Position Analysis for Germany Munich</dc:title>
  <dc:creator/>
  <dc:language>en</dc:language>
  <cp:keywords/>
  <dcterms:created xsi:type="dcterms:W3CDTF">2026-07-23T06:11:56Z</dcterms:created>
  <dcterms:modified xsi:type="dcterms:W3CDTF">2026-07-23T06:11:56Z</dcterms:modified>
</cp:coreProperties>
</file>

<file path=docProps/custom.xml><?xml version="1.0" encoding="utf-8"?>
<Properties xmlns="http://schemas.openxmlformats.org/officeDocument/2006/custom-properties" xmlns:vt="http://schemas.openxmlformats.org/officeDocument/2006/docPropsVTypes"/>
</file>