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India</w:t>
      </w:r>
      <w:r>
        <w:t xml:space="preserve"> </w:t>
      </w:r>
      <w:r>
        <w:t xml:space="preserve">Bangalore</w:t>
      </w:r>
    </w:p>
    <w:bookmarkStart w:id="28" w:name="Xac2d86f2b9ab994159724f421c3f58be64e16d1"/>
    <w:p>
      <w:pPr>
        <w:pStyle w:val="Heading1"/>
      </w:pPr>
      <w:r>
        <w:t xml:space="preserve">SALES REPORT FOR ACADEMIC RESEARCHER SEGMENT IN INDIA BANGALORE</w:t>
      </w:r>
    </w:p>
    <w:p>
      <w:pPr>
        <w:pStyle w:val="FirstParagraph"/>
      </w:pPr>
      <w:r>
        <w:t xml:space="preserve">Prepared for Executive Leadership | Q3 2024 | Confidential</w:t>
      </w:r>
    </w:p>
    <w:bookmarkStart w:id="20" w:name="executive-summary"/>
    <w:p>
      <w:pPr>
        <w:pStyle w:val="Heading2"/>
      </w:pPr>
      <w:r>
        <w:t xml:space="preserve">Executive Summary</w:t>
      </w:r>
    </w:p>
    <w:p>
      <w:pPr>
        <w:pStyle w:val="FirstParagraph"/>
      </w:pPr>
      <w:r>
        <w:t xml:space="preserve">This Sales Report details the performance of our academic research products and services across the vibrant research ecosystem of India Bangalore. The Academic Researcher segment has emerged as a critical growth driver, contributing 18% to total Q3 revenue with 27% YoY expansion. Bangalore's status as India's premier hub for scientific innovation (home to over 50 R&amp;D centers) makes this segment strategically vital for our long-term market dominance. This document outlines key performance metrics, emerging opportunities, and targeted strategies specific to the Academic Researcher community in India Bangalore.</w:t>
      </w:r>
    </w:p>
    <w:bookmarkEnd w:id="20"/>
    <w:bookmarkStart w:id="21" w:name="market-context-why-bangalore-matters"/>
    <w:p>
      <w:pPr>
        <w:pStyle w:val="Heading2"/>
      </w:pPr>
      <w:r>
        <w:t xml:space="preserve">Market Context: Why Bangalore Matters</w:t>
      </w:r>
    </w:p>
    <w:p>
      <w:pPr>
        <w:pStyle w:val="FirstParagraph"/>
      </w:pPr>
      <w:r>
        <w:t xml:space="preserve">India Bangalore is not merely a location—it's the pulsating heart of academic research in South Asia. With institutions like Indian Institute of Science (IISc), IIT-Bangalore, and 12+ leading AI/ML research centers operating within a 50km radius, the city hosts over 38,000 active Academic Researchers. Our Sales Report confirms Bangalore accounts for 42% of our total academic sector revenue in India. The unique blend of government-funded projects (like AMRIT and National Mission on Interdisciplinary Cyber-Physical Systems), private-sector collaborations, and startup innovation creates a dynamic market where Academic Researchers drive procurement decisions for specialized tools.</w:t>
      </w:r>
    </w:p>
    <w:bookmarkEnd w:id="21"/>
    <w:bookmarkStart w:id="23" w:name="q3-2024-sales-performance-analysis"/>
    <w:p>
      <w:pPr>
        <w:pStyle w:val="Heading2"/>
      </w:pPr>
      <w:r>
        <w:t xml:space="preserve">Q3 2024 Sales Performance Analysis</w:t>
      </w:r>
    </w:p>
    <w:bookmarkStart w:id="22" w:name="Xb2b4d63951530bcbcc91d950b7a9ce5c2aa8955"/>
    <w:p>
      <w:pPr>
        <w:pStyle w:val="Heading3"/>
      </w:pPr>
      <w:r>
        <w:t xml:space="preserve">Key Metrics (Bangalore Academic Researcher Segment):</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Indicator</w:t>
            </w:r>
          </w:p>
        </w:tc>
        <w:tc>
          <w:tcPr/>
          <w:p>
            <w:pPr>
              <w:pStyle w:val="Compact"/>
              <w:jc w:val="left"/>
            </w:pPr>
            <w:r>
              <w:t xml:space="preserve">Q3 2024</w:t>
            </w:r>
          </w:p>
        </w:tc>
        <w:tc>
          <w:tcPr/>
          <w:p>
            <w:pPr>
              <w:pStyle w:val="Compact"/>
              <w:jc w:val="left"/>
            </w:pPr>
            <w:r>
              <w:t xml:space="preserve">Q2 2024</w:t>
            </w:r>
          </w:p>
        </w:tc>
        <w:tc>
          <w:tcPr/>
          <w:p>
            <w:pPr>
              <w:pStyle w:val="Compact"/>
              <w:jc w:val="left"/>
            </w:pPr>
            <w:r>
              <w:t xml:space="preserve">YoY Change</w:t>
            </w:r>
          </w:p>
        </w:tc>
      </w:tr>
      <w:tr>
        <w:tc>
          <w:tcPr/>
          <w:p>
            <w:pPr>
              <w:pStyle w:val="Compact"/>
              <w:jc w:val="left"/>
            </w:pPr>
            <w:r>
              <w:t xml:space="preserve">Total Revenue (INR)</w:t>
            </w:r>
          </w:p>
        </w:tc>
        <w:tc>
          <w:tcPr/>
          <w:p>
            <w:pPr>
              <w:pStyle w:val="Compact"/>
              <w:jc w:val="left"/>
            </w:pPr>
            <w:r>
              <w:t xml:space="preserve">₹18.7 Cr</w:t>
            </w:r>
          </w:p>
        </w:tc>
        <w:tc>
          <w:tcPr/>
          <w:p>
            <w:pPr>
              <w:pStyle w:val="Compact"/>
              <w:jc w:val="left"/>
            </w:pPr>
            <w:r>
              <w:t xml:space="preserve">₹15.2 Cr</w:t>
            </w:r>
          </w:p>
        </w:tc>
        <w:tc>
          <w:tcPr/>
          <w:p>
            <w:pPr>
              <w:pStyle w:val="Compact"/>
              <w:jc w:val="left"/>
            </w:pPr>
            <w:r>
              <w:t xml:space="preserve">+23%</w:t>
            </w:r>
          </w:p>
        </w:tc>
      </w:tr>
      <w:tr>
        <w:tc>
          <w:tcPr/>
          <w:p>
            <w:pPr>
              <w:pStyle w:val="Compact"/>
              <w:jc w:val="left"/>
            </w:pPr>
            <w:r>
              <w:t xml:space="preserve">New Academic Researcher Contracts</w:t>
            </w:r>
          </w:p>
        </w:tc>
        <w:tc>
          <w:tcPr/>
          <w:p>
            <w:pPr>
              <w:pStyle w:val="Compact"/>
              <w:jc w:val="left"/>
            </w:pPr>
            <w:r>
              <w:t xml:space="preserve">97</w:t>
            </w:r>
          </w:p>
        </w:tc>
        <w:tc>
          <w:tcPr/>
          <w:p>
            <w:pPr>
              <w:pStyle w:val="Compact"/>
              <w:jc w:val="left"/>
            </w:pPr>
            <w:r>
              <w:t xml:space="preserve">76</w:t>
            </w:r>
          </w:p>
        </w:tc>
        <w:tc>
          <w:tcPr/>
          <w:p>
            <w:pPr>
              <w:pStyle w:val="Compact"/>
              <w:jc w:val="left"/>
            </w:pPr>
            <w:r>
              <w:t xml:space="preserve">+27.6%</w:t>
            </w:r>
          </w:p>
        </w:tc>
      </w:tr>
      <w:tr>
        <w:tc>
          <w:tcPr/>
          <w:p>
            <w:pPr>
              <w:pStyle w:val="Compact"/>
              <w:jc w:val="left"/>
            </w:pPr>
            <w:r>
              <w:t xml:space="preserve">Average Deal Size (INR)</w:t>
            </w:r>
          </w:p>
        </w:tc>
        <w:tc>
          <w:tcPr/>
          <w:p>
            <w:pPr>
              <w:pStyle w:val="Compact"/>
              <w:jc w:val="left"/>
            </w:pPr>
            <w:r>
              <w:t xml:space="preserve">₹1,92,000</w:t>
            </w:r>
          </w:p>
        </w:tc>
        <w:tc>
          <w:tcPr/>
          <w:p>
            <w:pPr>
              <w:pStyle w:val="Compact"/>
              <w:jc w:val="left"/>
            </w:pPr>
            <w:r>
              <w:t xml:space="preserve">₹1,85,000</w:t>
            </w:r>
          </w:p>
        </w:tc>
        <w:tc>
          <w:tcPr/>
          <w:p>
            <w:pPr>
              <w:pStyle w:val="Compact"/>
              <w:jc w:val="left"/>
            </w:pPr>
            <w:r>
              <w:t xml:space="preserve">+3.7%</w:t>
            </w:r>
          </w:p>
        </w:tc>
      </w:tr>
      <w:tr>
        <w:tc>
          <w:tcPr/>
          <w:p>
            <w:pPr>
              <w:pStyle w:val="Compact"/>
              <w:jc w:val="left"/>
            </w:pPr>
            <w:r>
              <w:t xml:space="preserve">Cross-Sell Rate (to existing Academic Researchers)</w:t>
            </w:r>
          </w:p>
        </w:tc>
        <w:tc>
          <w:tcPr/>
          <w:p>
            <w:pPr>
              <w:pStyle w:val="Compact"/>
              <w:jc w:val="left"/>
            </w:pPr>
            <w:r>
              <w:t xml:space="preserve">62%</w:t>
            </w:r>
          </w:p>
        </w:tc>
        <w:tc>
          <w:tcPr/>
          <w:p>
            <w:pPr>
              <w:pStyle w:val="Compact"/>
              <w:jc w:val="left"/>
            </w:pPr>
            <w:r>
              <w:t xml:space="preserve">54%</w:t>
            </w:r>
          </w:p>
        </w:tc>
        <w:tc>
          <w:tcPr/>
          <w:p>
            <w:pPr>
              <w:pStyle w:val="Compact"/>
              <w:jc w:val="left"/>
            </w:pPr>
            <w:r>
              <w:t xml:space="preserve">+8 pts</w:t>
            </w:r>
          </w:p>
        </w:tc>
      </w:tr>
    </w:tbl>
    <w:p>
      <w:pPr>
        <w:pStyle w:val="BodyText"/>
      </w:pPr>
      <w:r>
        <w:t xml:space="preserve">Notable achievement: Our flagship research analytics platform achieved 31% penetration among top 20 Bangalore academic institutions—a 9-point increase from Q2. This growth is directly tied to our strategic focus on understanding the unique workflows of Academic Researchers in India Bangalore, particularly their need for localized language support (Kannada/English) and compliance with Indian research ethics frameworks.</w:t>
      </w:r>
    </w:p>
    <w:bookmarkEnd w:id="22"/>
    <w:bookmarkEnd w:id="23"/>
    <w:bookmarkStart w:id="24" w:name="key-success-factors-in-bangalore"/>
    <w:p>
      <w:pPr>
        <w:pStyle w:val="Heading2"/>
      </w:pPr>
      <w:r>
        <w:t xml:space="preserve">Key Success Factors in Bangalore</w:t>
      </w:r>
    </w:p>
    <w:p>
      <w:pPr>
        <w:pStyle w:val="FirstParagraph"/>
      </w:pPr>
      <w:r>
        <w:t xml:space="preserve">Our Sales Report identifies three critical success pillars specific to the Academic Researcher segment in India Bangalore:</w:t>
      </w:r>
    </w:p>
    <w:p>
      <w:pPr>
        <w:numPr>
          <w:ilvl w:val="0"/>
          <w:numId w:val="1001"/>
        </w:numPr>
        <w:pStyle w:val="Compact"/>
      </w:pPr>
      <w:r>
        <w:rPr>
          <w:bCs/>
          <w:b/>
        </w:rPr>
        <w:t xml:space="preserve">Cultural Alignment</w:t>
      </w:r>
      <w:r>
        <w:t xml:space="preserve">: Tailoring sales conversations to resonate with academic values—emphasizing peer-reviewed validation over commercial pitches. Sales teams now undergo mandatory training on IISc research protocols and funding cycles.</w:t>
      </w:r>
    </w:p>
    <w:p>
      <w:pPr>
        <w:numPr>
          <w:ilvl w:val="0"/>
          <w:numId w:val="1001"/>
        </w:numPr>
        <w:pStyle w:val="Compact"/>
      </w:pPr>
      <w:r>
        <w:rPr>
          <w:bCs/>
          <w:b/>
        </w:rPr>
        <w:t xml:space="preserve">Infrastructure Synergy</w:t>
      </w:r>
      <w:r>
        <w:t xml:space="preserve">: Partnering with Bangalore's National Supercomputing Mission (NSM) to integrate our tools with local HPC clusters. This reduced implementation time by 40% for Academic Researchers at institutions like IIIT-Bangalore.</w:t>
      </w:r>
    </w:p>
    <w:p>
      <w:pPr>
        <w:numPr>
          <w:ilvl w:val="0"/>
          <w:numId w:val="1001"/>
        </w:numPr>
        <w:pStyle w:val="Compact"/>
      </w:pPr>
      <w:r>
        <w:rPr>
          <w:bCs/>
          <w:b/>
        </w:rPr>
        <w:t xml:space="preserve">Policy Navigation</w:t>
      </w:r>
      <w:r>
        <w:t xml:space="preserve">: Navigating India's complex research funding landscape (e.g., DST, SERB grants). Our sales enablement toolkit now includes pre-validated compliance documentation for Indian academic procurement processes, directly addressing a top pain point identified in Academic Researcher surveys.</w:t>
      </w:r>
    </w:p>
    <w:bookmarkEnd w:id="24"/>
    <w:bookmarkStart w:id="25" w:name="challenges-strategic-response"/>
    <w:p>
      <w:pPr>
        <w:pStyle w:val="Heading2"/>
      </w:pPr>
      <w:r>
        <w:t xml:space="preserve">Challenges &amp; Strategic Response</w:t>
      </w:r>
    </w:p>
    <w:p>
      <w:pPr>
        <w:pStyle w:val="FirstParagraph"/>
      </w:pPr>
      <w:r>
        <w:t xml:space="preserve">While performance is strong, our Sales Report highlights two persistent challenges requiring immediate action:</w:t>
      </w:r>
    </w:p>
    <w:p>
      <w:pPr>
        <w:numPr>
          <w:ilvl w:val="0"/>
          <w:numId w:val="1002"/>
        </w:numPr>
        <w:pStyle w:val="Compact"/>
      </w:pPr>
      <w:r>
        <w:rPr>
          <w:bCs/>
          <w:b/>
        </w:rPr>
        <w:t xml:space="preserve">Budget Fragmentation</w:t>
      </w:r>
      <w:r>
        <w:t xml:space="preserve">: 68% of Academic Researchers report disjointed funding from multiple government schemes. We've launched a "Funding Bridge" service—our sales team now collaborates with institute finance offices to bundle purchases across projects, increasing average transaction size by 19%.</w:t>
      </w:r>
    </w:p>
    <w:p>
      <w:pPr>
        <w:numPr>
          <w:ilvl w:val="0"/>
          <w:numId w:val="1002"/>
        </w:numPr>
        <w:pStyle w:val="Compact"/>
      </w:pPr>
      <w:r>
        <w:rPr>
          <w:bCs/>
          <w:b/>
        </w:rPr>
        <w:t xml:space="preserve">Competition for Talent</w:t>
      </w:r>
      <w:r>
        <w:t xml:space="preserve">: Bangalore's startup ecosystem pulls Academic Researchers toward commercial roles. To counter this, we've introduced the "Researcher Continuity Program" offering free training certifications aligned with industry standards (e.g., AWS ML Specialty), reducing churn by 22%.</w:t>
      </w:r>
    </w:p>
    <w:bookmarkEnd w:id="25"/>
    <w:bookmarkStart w:id="26" w:name="strategic-recommendations"/>
    <w:p>
      <w:pPr>
        <w:pStyle w:val="Heading2"/>
      </w:pPr>
      <w:r>
        <w:t xml:space="preserve">Strategic Recommendations</w:t>
      </w:r>
    </w:p>
    <w:p>
      <w:pPr>
        <w:pStyle w:val="FirstParagraph"/>
      </w:pPr>
      <w:r>
        <w:t xml:space="preserve">Based on this Sales Report, we recommend three targeted initiatives for India Bangalore:</w:t>
      </w:r>
    </w:p>
    <w:p>
      <w:pPr>
        <w:numPr>
          <w:ilvl w:val="0"/>
          <w:numId w:val="1003"/>
        </w:numPr>
        <w:pStyle w:val="Compact"/>
      </w:pPr>
      <w:r>
        <w:rPr>
          <w:bCs/>
          <w:b/>
        </w:rPr>
        <w:t xml:space="preserve">Launch Bangalore-Specific Academic Researcher Summit</w:t>
      </w:r>
      <w:r>
        <w:t xml:space="preserve">: Host a biannual event at IISc with government stakeholders. This would position us as the market leader while gathering critical insights directly from Academic Researchers. Projected ROI: ₹85 Cr in pipeline over 18 months.</w:t>
      </w:r>
    </w:p>
    <w:p>
      <w:pPr>
        <w:numPr>
          <w:ilvl w:val="0"/>
          <w:numId w:val="1003"/>
        </w:numPr>
        <w:pStyle w:val="Compact"/>
      </w:pPr>
      <w:r>
        <w:rPr>
          <w:bCs/>
          <w:b/>
        </w:rPr>
        <w:t xml:space="preserve">Develop India-Specific Research Taxonomy</w:t>
      </w:r>
      <w:r>
        <w:t xml:space="preserve">: Create a standardized classification system for research domains prevalent in Bangalore (e.g., "AI for Agritech," "Urban Health Systems"). This will streamline sales discovery and align with academic grant requirements, directly addressing a top request from Academic Researchers.</w:t>
      </w:r>
    </w:p>
    <w:p>
      <w:pPr>
        <w:numPr>
          <w:ilvl w:val="0"/>
          <w:numId w:val="1003"/>
        </w:numPr>
        <w:pStyle w:val="Compact"/>
      </w:pPr>
      <w:r>
        <w:rPr>
          <w:bCs/>
          <w:b/>
        </w:rPr>
        <w:t xml:space="preserve">Establish Dedicated Bangalore Academic Sales Team</w:t>
      </w:r>
      <w:r>
        <w:t xml:space="preserve">: Replace regional coverage with specialists embedded at key institutions. These reps will attend department meetings, co-author whitepapers, and become trusted advisors—critical for building long-term relationships with the Academic Researcher community in India Bangalore.</w:t>
      </w:r>
    </w:p>
    <w:bookmarkEnd w:id="26"/>
    <w:bookmarkStart w:id="27" w:name="Xddfa3726c704a0511941668eb138af0a8040374"/>
    <w:p>
      <w:pPr>
        <w:pStyle w:val="Heading2"/>
      </w:pPr>
      <w:r>
        <w:t xml:space="preserve">Conclusion: The Academic Researcher as Growth Catalyst</w:t>
      </w:r>
    </w:p>
    <w:p>
      <w:pPr>
        <w:pStyle w:val="FirstParagraph"/>
      </w:pPr>
      <w:r>
        <w:t xml:space="preserve">This Sales Report confirms that the Academic Researcher segment in India Bangalore is not just a revenue stream—it's our strategic advantage. With 7 of our top 10 enterprise clients in India originating from academic partnerships, and Bangalore accounting for over half of all academic sales, we must double down on this segment. The unique convergence of government funding, world-class institutions, and researcher innovation in India Bangalore creates an unparalleled opportunity to cement market leadership.</w:t>
      </w:r>
    </w:p>
    <w:p>
      <w:pPr>
        <w:pStyle w:val="BodyText"/>
      </w:pPr>
      <w:r>
        <w:t xml:space="preserve">As we move into Q4 2024, our focus will remain laser-sharp: understand the Academic Researcher's workflow, align our solutions with their grant cycles, and prove how our products accelerate discovery—because in India Bangalore's research ecosystem, every successful Academic Researcher represents a multiplier for growth. This Sales Report is not merely an analysis; it's a roadmap to dominate the academic technology market where innovation begins.</w:t>
      </w:r>
    </w:p>
    <w:p>
      <w:pPr>
        <w:pStyle w:val="BodyText"/>
      </w:pPr>
      <w:r>
        <w:t xml:space="preserve">Prepared by: Global Academic Sales Division</w:t>
      </w:r>
    </w:p>
    <w:p>
      <w:pPr>
        <w:pStyle w:val="BodyText"/>
      </w:pPr>
      <w:r>
        <w:t xml:space="preserve">Date: September 15, 2024 | For India Bangalore Operations Team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India Bangalore</dc:title>
  <dc:creator/>
  <dc:language>en</dc:language>
  <cp:keywords/>
  <dcterms:created xsi:type="dcterms:W3CDTF">2026-07-23T16:47:40Z</dcterms:created>
  <dcterms:modified xsi:type="dcterms:W3CDTF">2026-07-23T16:47:40Z</dcterms:modified>
</cp:coreProperties>
</file>

<file path=docProps/custom.xml><?xml version="1.0" encoding="utf-8"?>
<Properties xmlns="http://schemas.openxmlformats.org/officeDocument/2006/custom-properties" xmlns:vt="http://schemas.openxmlformats.org/officeDocument/2006/docPropsVTypes"/>
</file>