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6" w:name="X3b08fb41f6f7e4fe1c6b176edec79e60412380d"/>
    <w:p>
      <w:pPr>
        <w:pStyle w:val="Heading1"/>
      </w:pPr>
      <w:r>
        <w:t xml:space="preserve">SALES REPORT: ACADEMIC RESEARCHER MARKET PERFORMANCE IN INDIA MUMBAI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Academic Solutions Inc. Executive Board</w:t>
      </w:r>
      <w:r>
        <w:br/>
      </w:r>
      <w:r>
        <w:rPr>
          <w:bCs/>
          <w:b/>
        </w:rPr>
        <w:t xml:space="preserve">Prepared By:</w:t>
      </w:r>
      <w:r>
        <w:t xml:space="preserve"> </w:t>
      </w:r>
      <w:r>
        <w:t xml:space="preserve">Dr. Ananya Sharma, Senior Academic Researcher &amp; Market Intelligence Specialist</w:t>
      </w:r>
    </w:p>
    <w:bookmarkStart w:id="20" w:name="i.-executive-summary"/>
    <w:p>
      <w:pPr>
        <w:pStyle w:val="Heading2"/>
      </w:pPr>
      <w:r>
        <w:t xml:space="preserve">I. Executive Summary</w:t>
      </w:r>
    </w:p>
    <w:p>
      <w:pPr>
        <w:pStyle w:val="FirstParagraph"/>
      </w:pPr>
      <w:r>
        <w:t xml:space="preserve">This Sales Report details the performance of academic research tools and services within India's Mumbai metropolitan area during Q3 2023. As an Academic Researcher specializing in market analytics for higher education sectors, I have conducted comprehensive field assessments across 47 institutions including top universities (Tata Institute of Fundamental Research, University of Mumbai), corporate R&amp;D centers, and government research bodies. The data reveals a 34% year-on-year growth in demand for AI-driven research platforms among Mumbai-based academic institutions. Notably, our flagship "ResearchFlow" suite achieved 127% of quarterly sales targets with significant traction at IIT Bombay and Symbiosis International University. This report underscores Mumbai's emergence as India's premier hub for academic innovation sales, with a strategic shift toward subscription-based models driving revenue growth.</w:t>
      </w:r>
    </w:p>
    <w:bookmarkEnd w:id="20"/>
    <w:bookmarkStart w:id="21" w:name="X789869f9dd3a2bfc4d57c97a5750827cf631495"/>
    <w:p>
      <w:pPr>
        <w:pStyle w:val="Heading2"/>
      </w:pPr>
      <w:r>
        <w:t xml:space="preserve">II. Mumbai Academic Market Landscape (Q3 2023)</w:t>
      </w:r>
    </w:p>
    <w:p>
      <w:pPr>
        <w:pStyle w:val="FirstParagraph"/>
      </w:pPr>
      <w:r>
        <w:t xml:space="preserve">Mumbai represents the epicenter of India's academic research ecosystem, housing 68% of the nation's top-tier research institutions and generating 41% of national academic patents. As an Academic Researcher conducting on-ground market validation, I observed three critical trends:</w:t>
      </w:r>
    </w:p>
    <w:p>
      <w:pPr>
        <w:numPr>
          <w:ilvl w:val="0"/>
          <w:numId w:val="1001"/>
        </w:numPr>
        <w:pStyle w:val="Compact"/>
      </w:pPr>
      <w:r>
        <w:rPr>
          <w:bCs/>
          <w:b/>
        </w:rPr>
        <w:t xml:space="preserve">Subscription Model Dominance:</w:t>
      </w:r>
      <w:r>
        <w:t xml:space="preserve"> </w:t>
      </w:r>
      <w:r>
        <w:t xml:space="preserve">78% of Mumbai institutions now prefer annual SaaS subscriptions over perpetual licenses (up from 43% in Q1 2022), driven by budget constraints and cloud migration initiatives. Our ResearchFlow subscription model captured 63% of this segment.</w:t>
      </w:r>
    </w:p>
    <w:p>
      <w:pPr>
        <w:numPr>
          <w:ilvl w:val="0"/>
          <w:numId w:val="1001"/>
        </w:numPr>
        <w:pStyle w:val="Compact"/>
      </w:pPr>
      <w:r>
        <w:rPr>
          <w:bCs/>
          <w:b/>
        </w:rPr>
        <w:t xml:space="preserve">AI Integration Demand:</w:t>
      </w:r>
      <w:r>
        <w:t xml:space="preserve"> </w:t>
      </w:r>
      <w:r>
        <w:t xml:space="preserve">Universities are prioritizing AI-powered tools for literature review (89%) and data analytics (76%). The Mumbai campus of National Institute of Technology reported a 200% increase in requests for AI-assisted research platforms since July.</w:t>
      </w:r>
    </w:p>
    <w:p>
      <w:pPr>
        <w:numPr>
          <w:ilvl w:val="0"/>
          <w:numId w:val="1001"/>
        </w:numPr>
        <w:pStyle w:val="Compact"/>
      </w:pPr>
      <w:r>
        <w:rPr>
          <w:bCs/>
          <w:b/>
        </w:rPr>
        <w:t xml:space="preserve">Government-Driven Sales Cycles:</w:t>
      </w:r>
      <w:r>
        <w:t xml:space="preserve"> </w:t>
      </w:r>
      <w:r>
        <w:t xml:space="preserve">The new National Research Policy has accelerated procurement cycles at central universities, creating a 4-month sales window where Mumbai institutions lead national adoption rates by 37%.</w:t>
      </w:r>
    </w:p>
    <w:bookmarkEnd w:id="21"/>
    <w:bookmarkStart w:id="22" w:name="X35eafa9418cd461666ccb3d0a59c278c09d4990"/>
    <w:p>
      <w:pPr>
        <w:pStyle w:val="Heading2"/>
      </w:pPr>
      <w:r>
        <w:t xml:space="preserve">III. Key Performance Metrics (India Mumbai Focus)</w:t>
      </w:r>
    </w:p>
    <w:p>
      <w:pPr>
        <w:pStyle w:val="FirstParagraph"/>
      </w:pPr>
      <w:r>
        <w:t xml:space="preserve">Product/Service</w:t>
      </w:r>
    </w:p>
    <w:p>
      <w:pPr>
        <w:pStyle w:val="BodyText"/>
      </w:pPr>
      <w:r>
        <w:t xml:space="preserve">Mumbai Sales (Q3)</w:t>
      </w:r>
    </w:p>
    <w:p>
      <w:pPr>
        <w:pStyle w:val="BodyText"/>
      </w:pPr>
      <w:r>
        <w:t xml:space="preserve">% Target Achieved</w:t>
      </w:r>
    </w:p>
    <w:p>
      <w:pPr>
        <w:pStyle w:val="BodyText"/>
      </w:pPr>
      <w:r>
        <w:t xml:space="preserve">Top Institutions Acquired</w:t>
      </w:r>
    </w:p>
    <w:p>
      <w:pPr>
        <w:pStyle w:val="BodyText"/>
      </w:pPr>
      <w:r>
        <w:t xml:space="preserve">ResearchFlow AI Suite</w:t>
      </w:r>
    </w:p>
    <w:p>
      <w:pPr>
        <w:pStyle w:val="BodyText"/>
      </w:pPr>
      <w:r>
        <w:t xml:space="preserve">$142,500</w:t>
      </w:r>
    </w:p>
    <w:p>
      <w:pPr>
        <w:pStyle w:val="BodyText"/>
      </w:pPr>
      <w:r>
        <w:t xml:space="preserve">127%</w:t>
      </w:r>
    </w:p>
    <w:p>
      <w:pPr>
        <w:pStyle w:val="BodyText"/>
      </w:pPr>
      <w:r>
        <w:t xml:space="preserve">IIT Bombay, Symbiosis, Navi Mumbai R&amp;D Park</w:t>
      </w:r>
    </w:p>
    <w:p>
      <w:pPr>
        <w:pStyle w:val="BodyText"/>
      </w:pPr>
      <w:r>
        <w:t xml:space="preserve">CitationPro Academic Library</w:t>
      </w:r>
    </w:p>
    <w:p>
      <w:pPr>
        <w:pStyle w:val="BodyText"/>
      </w:pPr>
      <w:r>
        <w:t xml:space="preserve">$87,300</w:t>
      </w:r>
    </w:p>
    <w:p>
      <w:pPr>
        <w:pStyle w:val="BodyText"/>
      </w:pPr>
      <w:r>
        <w:t xml:space="preserve">92%</w:t>
      </w:r>
    </w:p>
    <w:p>
      <w:pPr>
        <w:pStyle w:val="BodyText"/>
      </w:pPr>
      <w:r>
        <w:t xml:space="preserve">Mumbai University, Jai Hind College Research Centre</w:t>
      </w:r>
    </w:p>
    <w:p>
      <w:pPr>
        <w:pStyle w:val="BodyText"/>
      </w:pPr>
      <w:r>
        <w:t xml:space="preserve">DataViz Analytics Platform</w:t>
      </w:r>
    </w:p>
    <w:p>
      <w:pPr>
        <w:pStyle w:val="BodyText"/>
      </w:pPr>
      <w:r>
        <w:t xml:space="preserve">$56,800</w:t>
      </w:r>
    </w:p>
    <w:p>
      <w:pPr>
        <w:pStyle w:val="BodyText"/>
      </w:pPr>
      <w:r>
        <w:t xml:space="preserve">84%</w:t>
      </w:r>
    </w:p>
    <w:p>
      <w:pPr>
        <w:pStyle w:val="BodyText"/>
      </w:pPr>
      <w:r>
        <w:t xml:space="preserve">Tata Memorial Hospital (Research Division), IIM Mumbai</w:t>
      </w:r>
    </w:p>
    <w:p>
      <w:pPr>
        <w:pStyle w:val="BodyText"/>
      </w:pPr>
      <w:r>
        <w:t xml:space="preserve">Academic Grant Assistance Service</w:t>
      </w:r>
    </w:p>
    <w:p>
      <w:pPr>
        <w:pStyle w:val="BodyText"/>
      </w:pPr>
      <w:r>
        <w:t xml:space="preserve">$31,200</w:t>
      </w:r>
    </w:p>
    <w:p>
      <w:pPr>
        <w:pStyle w:val="BodyText"/>
      </w:pPr>
      <w:r>
        <w:t xml:space="preserve">156%</w:t>
      </w:r>
    </w:p>
    <w:p>
      <w:pPr>
        <w:pStyle w:val="BodyText"/>
      </w:pPr>
      <w:r>
        <w:br/>
      </w:r>
    </w:p>
    <w:p>
      <w:pPr>
        <w:pStyle w:val="BodyText"/>
      </w:pPr>
      <w:r>
        <w:t xml:space="preserve">Mumbai University Research Council, S. P. Jain Institute of Management</w:t>
      </w:r>
    </w:p>
    <w:bookmarkEnd w:id="22"/>
    <w:bookmarkStart w:id="23" w:name="X3c7ec10ed0589d552d8a7e6a7466ad89c69b2a4"/>
    <w:p>
      <w:pPr>
        <w:pStyle w:val="Heading2"/>
      </w:pPr>
      <w:r>
        <w:t xml:space="preserve">IV. Academic Researcher Insights: Mumbai's Unique Sales Dynamics</w:t>
      </w:r>
    </w:p>
    <w:p>
      <w:pPr>
        <w:pStyle w:val="FirstParagraph"/>
      </w:pPr>
      <w:r>
        <w:t xml:space="preserve">As an Academic Researcher conducting this market analysis, I identified three Mumbai-specific sales imperatives that distinguish it from other Indian metros:</w:t>
      </w:r>
    </w:p>
    <w:p>
      <w:pPr>
        <w:numPr>
          <w:ilvl w:val="0"/>
          <w:numId w:val="1002"/>
        </w:numPr>
        <w:pStyle w:val="Compact"/>
      </w:pPr>
      <w:r>
        <w:rPr>
          <w:bCs/>
          <w:b/>
        </w:rPr>
        <w:t xml:space="preserve">Cultural Nuances in Decision-Making:</w:t>
      </w:r>
      <w:r>
        <w:t xml:space="preserve"> </w:t>
      </w:r>
      <w:r>
        <w:t xml:space="preserve">Unlike Delhi or Bangalore, Mumbai academic procurement requires relationship-building with Dean of Research roles (not just IT departments). At St. Xavier's College, a 4-month pre-sale engagement with the Head of Research was critical for closing our largest enterprise contract ($98,500).</w:t>
      </w:r>
    </w:p>
    <w:p>
      <w:pPr>
        <w:numPr>
          <w:ilvl w:val="0"/>
          <w:numId w:val="1002"/>
        </w:numPr>
        <w:pStyle w:val="Compact"/>
      </w:pPr>
      <w:r>
        <w:rPr>
          <w:bCs/>
          <w:b/>
        </w:rPr>
        <w:t xml:space="preserve">Infrastructure Challenges:</w:t>
      </w:r>
      <w:r>
        <w:t xml:space="preserve"> </w:t>
      </w:r>
      <w:r>
        <w:t xml:space="preserve">While Mumbai has world-class institutions, 63% of campuses experience bandwidth limitations during peak hours (7-10 PM), necessitating offline capabilities. Our ResearchFlow's offline mode became a key differentiator in sales discussions with 22 institutions.</w:t>
      </w:r>
    </w:p>
    <w:p>
      <w:pPr>
        <w:numPr>
          <w:ilvl w:val="0"/>
          <w:numId w:val="1002"/>
        </w:numPr>
        <w:pStyle w:val="Compact"/>
      </w:pPr>
      <w:r>
        <w:rPr>
          <w:bCs/>
          <w:b/>
        </w:rPr>
        <w:t xml:space="preserve">National Policy Alignment:</w:t>
      </w:r>
      <w:r>
        <w:t xml:space="preserve"> </w:t>
      </w:r>
      <w:r>
        <w:t xml:space="preserve">The new "Make in India for Research" initiative has created preferential pricing opportunities. We leveraged this to secure 14 contracts at 15% discounts, positioning our Mumbai-based data centers as compliant with national security guidelines.</w:t>
      </w:r>
    </w:p>
    <w:bookmarkEnd w:id="23"/>
    <w:bookmarkStart w:id="24" w:name="Xfa471ca9ad4184ab8cb83dcfb1e4adfa8a19b88"/>
    <w:p>
      <w:pPr>
        <w:pStyle w:val="Heading2"/>
      </w:pPr>
      <w:r>
        <w:t xml:space="preserve">V. Challenges and Strategic Recommendations</w:t>
      </w:r>
    </w:p>
    <w:p>
      <w:pPr>
        <w:pStyle w:val="FirstParagraph"/>
      </w:pPr>
      <w:r>
        <w:t xml:space="preserve">Despite strong performance, three challenges require immediate attention for sustained growth in India Mumbai:</w:t>
      </w:r>
    </w:p>
    <w:p>
      <w:pPr>
        <w:numPr>
          <w:ilvl w:val="0"/>
          <w:numId w:val="1003"/>
        </w:numPr>
        <w:pStyle w:val="Compact"/>
      </w:pPr>
      <w:r>
        <w:rPr>
          <w:bCs/>
          <w:b/>
        </w:rPr>
        <w:t xml:space="preserve">Competitor Response:</w:t>
      </w:r>
      <w:r>
        <w:t xml:space="preserve"> </w:t>
      </w:r>
      <w:r>
        <w:t xml:space="preserve">Local player "AcademyTech" has aggressively undercut pricing (by 28%) for basic tools. *Recommendation:* Develop a tiered "Mumbai Researcher" package combining our AI suite with discounted access to Mumbai University's digital library resources.</w:t>
      </w:r>
    </w:p>
    <w:p>
      <w:pPr>
        <w:numPr>
          <w:ilvl w:val="0"/>
          <w:numId w:val="1003"/>
        </w:numPr>
        <w:pStyle w:val="Compact"/>
      </w:pPr>
      <w:r>
        <w:rPr>
          <w:bCs/>
          <w:b/>
        </w:rPr>
        <w:t xml:space="preserve">Talent Acquisition Gap:</w:t>
      </w:r>
      <w:r>
        <w:t xml:space="preserve"> </w:t>
      </w:r>
      <w:r>
        <w:t xml:space="preserve">73% of Mumbai institutions report shortages in staff trained on advanced research platforms. *Recommendation:* Partner with Mumbai-based academic training centers (e.g., TISS, Symbiosis) to launch certified "ResearchTech" workshops – a revenue stream projected at $210K annually.</w:t>
      </w:r>
    </w:p>
    <w:p>
      <w:pPr>
        <w:numPr>
          <w:ilvl w:val="0"/>
          <w:numId w:val="1003"/>
        </w:numPr>
        <w:pStyle w:val="Compact"/>
      </w:pPr>
      <w:r>
        <w:rPr>
          <w:bCs/>
          <w:b/>
        </w:rPr>
        <w:t xml:space="preserve">Seasonal Budget Cycles:</w:t>
      </w:r>
      <w:r>
        <w:t xml:space="preserve"> </w:t>
      </w:r>
      <w:r>
        <w:t xml:space="preserve">Academic budgets peak in August/September (post-semester). *Recommendation:* Implement a Q4 "Mumbai Research Surge" campaign targeting 95% of sales before September 30, supported by targeted webinars with Mumbai-based professors.</w:t>
      </w:r>
    </w:p>
    <w:bookmarkEnd w:id="24"/>
    <w:bookmarkStart w:id="25" w:name="X801a385c9ef85b6b1414994728dff7506265a89"/>
    <w:p>
      <w:pPr>
        <w:pStyle w:val="Heading2"/>
      </w:pPr>
      <w:r>
        <w:t xml:space="preserve">VI. Conclusion: The Mumbai Advantage for Academic Sales</w:t>
      </w:r>
    </w:p>
    <w:p>
      <w:pPr>
        <w:pStyle w:val="FirstParagraph"/>
      </w:pPr>
      <w:r>
        <w:t xml:space="preserve">This Sales Report confirms that India's Mumbai market is the catalyst for our global academic research software strategy. As an Academic Researcher who has spent 18 months immersed in Mumbai's academic ecosystem, I've observed a unique convergence of factors: world-class institutions demanding cutting-edge tools, government initiatives creating procurement windows, and a tech-savvy researcher community that rapidly adopts digital solutions. Our Q3 success demonstrates that tailoring sales approaches specifically to Mumbai's institutional culture – not just offering standardized products – yields superior results. The 127% target achievement for ResearchFlow is not accidental; it's the outcome of deep market understanding derived from direct engagement with Mumbai's academic community.</w:t>
      </w:r>
    </w:p>
    <w:p>
      <w:pPr>
        <w:pStyle w:val="BodyText"/>
      </w:pPr>
      <w:r>
        <w:t xml:space="preserve">For future Q4 planning, I recommend doubling down on Mumbai-focused initiatives. We should allocate 35% of our India marketing budget to Mumbai-specific campaigns, and establish a dedicated Mumbai Academic Liaison role within our sales team. As this Sales Report demonstrates, the Academic Researcher's perspective is not merely advisory – it is the engine driving our market leadership in India's most dynamic academic hub. The data from Mumbai doesn't just indicate success; it charts a course for nationwide expansion that will position Global Academic Solutions as the undisputed leader in research technology sales across India.</w:t>
      </w:r>
    </w:p>
    <w:p>
      <w:pPr>
        <w:pStyle w:val="BodyText"/>
      </w:pPr>
      <w:r>
        <w:rPr>
          <w:bCs/>
          <w:b/>
        </w:rPr>
        <w:t xml:space="preserve">Prepared By:</w:t>
      </w:r>
      <w:r>
        <w:t xml:space="preserve"> </w:t>
      </w:r>
      <w:r>
        <w:t xml:space="preserve">Dr. Ananya Sharma, Senior Academic Researcher (India Market Intelligence)</w:t>
      </w:r>
    </w:p>
    <w:p>
      <w:pPr>
        <w:pStyle w:val="BodyText"/>
      </w:pPr>
      <w:r>
        <w:rPr>
          <w:bCs/>
          <w:b/>
        </w:rPr>
        <w:t xml:space="preserve">Contact:</w:t>
      </w:r>
      <w:r>
        <w:t xml:space="preserve"> </w:t>
      </w:r>
      <w:r>
        <w:t xml:space="preserve">ananya.sharma@globalacadsolutions.com | +91 22 4000 7895</w:t>
      </w:r>
      <w:r>
        <w:br/>
      </w:r>
      <w:r>
        <w:rPr>
          <w:iCs/>
          <w:i/>
        </w:rPr>
        <w:t xml:space="preserve">This Sales Report complies with the Mumbai Chapter of the Association of University Professors and Researchers' ethical guidelines for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India Mumbai Market Analysis</dc:title>
  <dc:creator/>
  <dc:language>en</dc:language>
  <cp:keywords/>
  <dcterms:created xsi:type="dcterms:W3CDTF">2026-07-23T15:19:47Z</dcterms:created>
  <dcterms:modified xsi:type="dcterms:W3CDTF">2026-07-23T15:19:47Z</dcterms:modified>
</cp:coreProperties>
</file>

<file path=docProps/custom.xml><?xml version="1.0" encoding="utf-8"?>
<Properties xmlns="http://schemas.openxmlformats.org/officeDocument/2006/custom-properties" xmlns:vt="http://schemas.openxmlformats.org/officeDocument/2006/docPropsVTypes"/>
</file>