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Indonesia</w:t>
      </w:r>
      <w:r>
        <w:t xml:space="preserve"> </w:t>
      </w:r>
      <w:r>
        <w:t xml:space="preserve">Jakarta</w:t>
      </w:r>
      <w:r>
        <w:t xml:space="preserve"> </w:t>
      </w:r>
      <w:r>
        <w:t xml:space="preserve">Market</w:t>
      </w:r>
    </w:p>
    <w:bookmarkStart w:id="26" w:name="X02df33dea074ca9408ba6f415d0f726d3ab4c78"/>
    <w:p>
      <w:pPr>
        <w:pStyle w:val="Heading1"/>
      </w:pPr>
      <w:r>
        <w:t xml:space="preserve">Academic Researcher Sales Report: Indonesia Jakarta Market Performance (Q3 2024)</w:t>
      </w:r>
    </w:p>
    <w:p>
      <w:pPr>
        <w:pStyle w:val="FirstParagraph"/>
      </w:pPr>
      <w:r>
        <w:t xml:space="preserve">This comprehensive sales report details the performance of our academic research solutions within Jakarta's higher education and research ecosystem. As Indonesia's capital and largest economic hub, Jakarta serves as the epicenter for academic innovation in Southeast Asia, hosting over 50 universities including top institutions like University of Indonesia (UI), Institut Teknologi Bandung (ITB), and Universitas Gadjah Mada (UGM). This report specifically analyzes sales engagement with</w:t>
      </w:r>
      <w:r>
        <w:t xml:space="preserve"> </w:t>
      </w:r>
      <w:r>
        <w:rPr>
          <w:bCs/>
          <w:b/>
        </w:rPr>
        <w:t xml:space="preserve">Academic Researchers</w:t>
      </w:r>
      <w:r>
        <w:t xml:space="preserve"> </w:t>
      </w:r>
      <w:r>
        <w:t xml:space="preserve">across Jakarta's research community, highlighting strategic opportunities and market dynamics unique to Indonesia's academic landscape.</w:t>
      </w:r>
    </w:p>
    <w:bookmarkStart w:id="20" w:name="Xbf5d91521e72ce8c180a380afadb560eea8faa2"/>
    <w:p>
      <w:pPr>
        <w:pStyle w:val="Heading2"/>
      </w:pPr>
      <w:r>
        <w:t xml:space="preserve">Market Context: Academic Research in Jakarta, Indonesia</w:t>
      </w:r>
    </w:p>
    <w:p>
      <w:pPr>
        <w:pStyle w:val="FirstParagraph"/>
      </w:pPr>
      <w:r>
        <w:t xml:space="preserve">Indonesia's research expenditure has grown by 12.7% annually (2020-2024), with Jakarta accounting for 68% of national R&amp;D activity. However, academic researchers in our target market face critical challenges: limited access to advanced research tools (only 34% have institutional subscriptions to premium databases), budget constraints due to government funding caps, and high competition for publication in Scopus-indexed journals. Our sales strategy must directly address these pain points while aligning with Indonesia's National Research Policy 2021-2035, which prioritizes "research excellence through digital transformation."</w:t>
      </w:r>
    </w:p>
    <w:p>
      <w:pPr>
        <w:pStyle w:val="BodyText"/>
      </w:pPr>
      <w:r>
        <w:t xml:space="preserve">Key Market Insight:</w:t>
      </w:r>
      <w:r>
        <w:t xml:space="preserve"> </w:t>
      </w:r>
      <w:r>
        <w:t xml:space="preserve">Jakarta-based academic researchers prioritize solutions that simultaneously: (1) enhance publication success rates in international journals, (2) comply with Indonesia's Ministry of Education data sovereignty requirements, and (3) integrate with local platforms like SINTA (Science and Technology Index). Our sales approach has been re-engineered to meet these three non-negotiable criteria.</w:t>
      </w:r>
    </w:p>
    <w:bookmarkEnd w:id="20"/>
    <w:bookmarkStart w:id="21" w:name="X58f93a951df6934ea823beae14d0faead2baf93"/>
    <w:p>
      <w:pPr>
        <w:pStyle w:val="Heading2"/>
      </w:pPr>
      <w:r>
        <w:t xml:space="preserve">Sales Performance Analysis: Jakarta Academic Researcher Segment</w:t>
      </w:r>
    </w:p>
    <w:p>
      <w:pPr>
        <w:pStyle w:val="FirstParagraph"/>
      </w:pPr>
      <w:r>
        <w:t xml:space="preserve">During Q3 2024, our dedicated academic sales team achieved a 18.3% year-over-year growth in</w:t>
      </w:r>
      <w:r>
        <w:t xml:space="preserve"> </w:t>
      </w:r>
      <w:r>
        <w:rPr>
          <w:bCs/>
          <w:b/>
        </w:rPr>
        <w:t xml:space="preserve">Academic Researcher</w:t>
      </w:r>
      <w:r>
        <w:t xml:space="preserve"> </w:t>
      </w:r>
      <w:r>
        <w:t xml:space="preserve">contracts within Jakarta, reaching IDR 48.7 billion (USD $3.1M) in revenue. This outperforms the overall Indonesia market growth rate of 9.2%. Notable achievements include:</w:t>
      </w:r>
    </w:p>
    <w:p>
      <w:pPr>
        <w:numPr>
          <w:ilvl w:val="0"/>
          <w:numId w:val="1001"/>
        </w:numPr>
        <w:pStyle w:val="Compact"/>
      </w:pPr>
      <w:r>
        <w:rPr>
          <w:bCs/>
          <w:b/>
        </w:rPr>
        <w:t xml:space="preserve">Product Adoption:</w:t>
      </w:r>
      <w:r>
        <w:t xml:space="preserve"> </w:t>
      </w:r>
      <w:r>
        <w:t xml:space="preserve">72% increase in subscriptions to our AI-powered literature analysis tool (ResearchInsight+) among Jakarta universities, driven by demand for faster systematic review capabilities</w:t>
      </w:r>
    </w:p>
    <w:p>
      <w:pPr>
        <w:numPr>
          <w:ilvl w:val="0"/>
          <w:numId w:val="1001"/>
        </w:numPr>
        <w:pStyle w:val="Compact"/>
      </w:pPr>
      <w:r>
        <w:rPr>
          <w:bCs/>
          <w:b/>
        </w:rPr>
        <w:t xml:space="preserve">Client Acquisition:</w:t>
      </w:r>
      <w:r>
        <w:t xml:space="preserve"> </w:t>
      </w:r>
      <w:r>
        <w:t xml:space="preserve">Secured 14 new institutional contracts with major Jakarta research hubs including the National Research and Innovation Agency (BRIN) and the Indonesian Institute of Sciences (LIPI)</w:t>
      </w:r>
    </w:p>
    <w:p>
      <w:pPr>
        <w:numPr>
          <w:ilvl w:val="0"/>
          <w:numId w:val="1001"/>
        </w:numPr>
        <w:pStyle w:val="Compact"/>
      </w:pPr>
      <w:r>
        <w:rPr>
          <w:bCs/>
          <w:b/>
        </w:rPr>
        <w:t xml:space="preserve">Retention Rate:</w:t>
      </w:r>
      <w:r>
        <w:t xml:space="preserve"> </w:t>
      </w:r>
      <w:r>
        <w:t xml:space="preserve">89% renewal rate from existing academic researcher clients – significantly above industry benchmark of 75%</w:t>
      </w:r>
    </w:p>
    <w:bookmarkEnd w:id="21"/>
    <w:bookmarkStart w:id="22" w:name="Xae94d36f534fc177193485bcbc72815d43f4f06"/>
    <w:p>
      <w:pPr>
        <w:pStyle w:val="Heading2"/>
      </w:pPr>
      <w:r>
        <w:t xml:space="preserve">Case Study: University of Indonesia Collaboration</w:t>
      </w:r>
    </w:p>
    <w:p>
      <w:pPr>
        <w:pStyle w:val="FirstParagraph"/>
      </w:pPr>
      <w:r>
        <w:t xml:space="preserve">A pivotal success story involves our partnership with the Faculty of Medicine at University of Indonesia (UI), Jakarta's oldest public university. After conducting a needs assessment, we customized a solution combining:</w:t>
      </w:r>
    </w:p>
    <w:p>
      <w:pPr>
        <w:numPr>
          <w:ilvl w:val="0"/>
          <w:numId w:val="1002"/>
        </w:numPr>
        <w:pStyle w:val="Compact"/>
      </w:pPr>
      <w:r>
        <w:t xml:space="preserve">Local language support for research databases (Indonesian/English)</w:t>
      </w:r>
    </w:p>
    <w:p>
      <w:pPr>
        <w:numPr>
          <w:ilvl w:val="0"/>
          <w:numId w:val="1002"/>
        </w:numPr>
        <w:pStyle w:val="Compact"/>
      </w:pPr>
      <w:r>
        <w:t xml:space="preserve">Compliance with Ministry of Education data residency requirements</w:t>
      </w:r>
    </w:p>
    <w:p>
      <w:pPr>
        <w:numPr>
          <w:ilvl w:val="0"/>
          <w:numId w:val="1002"/>
        </w:numPr>
        <w:pStyle w:val="Compact"/>
      </w:pPr>
      <w:r>
        <w:t xml:space="preserve">Integration with UI's existing learning management system</w:t>
      </w:r>
    </w:p>
    <w:p>
      <w:pPr>
        <w:pStyle w:val="FirstParagraph"/>
      </w:pPr>
      <w:r>
        <w:t xml:space="preserve">This solution enabled 327 medical researchers at UI to reduce literature review time by 40% and increase Scopus publications by 28% in Q1-Q3 2024. The success generated a viral referral effect, leading to adoption across all faculties within Jakarta's top five universities.</w:t>
      </w:r>
    </w:p>
    <w:p>
      <w:pPr>
        <w:pStyle w:val="BodyText"/>
      </w:pPr>
      <w:r>
        <w:t xml:space="preserve">Critical Sales Insight:</w:t>
      </w:r>
      <w:r>
        <w:t xml:space="preserve"> </w:t>
      </w:r>
      <w:r>
        <w:t xml:space="preserve">In Indonesia Jakarta, academic researchers are not the sole decision-makers – we must engage three key stakeholders: (1) individual researchers (end-users), (2) department heads, and (3) university procurement offices. Our sales process now includes mandatory co-creation workshops with all three parties during onboarding.</w:t>
      </w:r>
    </w:p>
    <w:bookmarkEnd w:id="22"/>
    <w:bookmarkStart w:id="23" w:name="Xf4ff245aa6322f5b60f6889b346f833bb045eff"/>
    <w:p>
      <w:pPr>
        <w:pStyle w:val="Heading2"/>
      </w:pPr>
      <w:r>
        <w:t xml:space="preserve">Challenges in the Jakarta Academic Market</w:t>
      </w:r>
    </w:p>
    <w:p>
      <w:pPr>
        <w:pStyle w:val="FirstParagraph"/>
      </w:pPr>
      <w:r>
        <w:t xml:space="preserve">Despite strong growth, several Indonesia-specific challenges impact our</w:t>
      </w:r>
      <w:r>
        <w:t xml:space="preserve"> </w:t>
      </w:r>
      <w:r>
        <w:rPr>
          <w:bCs/>
          <w:b/>
        </w:rPr>
        <w:t xml:space="preserve">Sales Report</w:t>
      </w:r>
      <w:r>
        <w:t xml:space="preserve"> </w:t>
      </w:r>
      <w:r>
        <w:t xml:space="preserve">data:</w:t>
      </w:r>
    </w:p>
    <w:p>
      <w:pPr>
        <w:numPr>
          <w:ilvl w:val="0"/>
          <w:numId w:val="1003"/>
        </w:numPr>
        <w:pStyle w:val="Compact"/>
      </w:pPr>
      <w:r>
        <w:rPr>
          <w:bCs/>
          <w:b/>
        </w:rPr>
        <w:t xml:space="preserve">Budget Cycles:</w:t>
      </w:r>
      <w:r>
        <w:t xml:space="preserve"> </w:t>
      </w:r>
      <w:r>
        <w:t xml:space="preserve">University fiscal year ends July 31, creating a "sales cliff" in August-September with only 12% of annual budgets allocated before September</w:t>
      </w:r>
    </w:p>
    <w:p>
      <w:pPr>
        <w:numPr>
          <w:ilvl w:val="0"/>
          <w:numId w:val="1003"/>
        </w:numPr>
        <w:pStyle w:val="Compact"/>
      </w:pPr>
      <w:r>
        <w:rPr>
          <w:bCs/>
          <w:b/>
        </w:rPr>
        <w:t xml:space="preserve">Cultural Nuances:</w:t>
      </w:r>
      <w:r>
        <w:t xml:space="preserve"> </w:t>
      </w:r>
      <w:r>
        <w:t xml:space="preserve">Hierarchical decision-making requires building relationships with senior professors before engaging junior researchers – a process averaging 4-6 months</w:t>
      </w:r>
    </w:p>
    <w:p>
      <w:pPr>
        <w:numPr>
          <w:ilvl w:val="0"/>
          <w:numId w:val="1003"/>
        </w:numPr>
        <w:pStyle w:val="Compact"/>
      </w:pPr>
      <w:r>
        <w:rPr>
          <w:bCs/>
          <w:b/>
        </w:rPr>
        <w:t xml:space="preserve">Competition:</w:t>
      </w:r>
      <w:r>
        <w:t xml:space="preserve"> </w:t>
      </w:r>
      <w:r>
        <w:t xml:space="preserve">Local Indonesian vendors now offer low-cost alternatives that lack our research-grade analytics, capturing 31% of budget-conscious departments</w:t>
      </w:r>
    </w:p>
    <w:bookmarkEnd w:id="23"/>
    <w:bookmarkStart w:id="24" w:name="X717a473fe1caa2edc303ba9f8d8753f82564269"/>
    <w:p>
      <w:pPr>
        <w:pStyle w:val="Heading2"/>
      </w:pPr>
      <w:r>
        <w:t xml:space="preserve">Strategic Growth Initiatives for Jakarta Market (2025)</w:t>
      </w:r>
    </w:p>
    <w:p>
      <w:pPr>
        <w:pStyle w:val="FirstParagraph"/>
      </w:pPr>
      <w:r>
        <w:t xml:space="preserve">To capitalize on Indonesia's growing research ecosystem, we are implementing three targeted initiatives:</w:t>
      </w:r>
    </w:p>
    <w:p>
      <w:pPr>
        <w:numPr>
          <w:ilvl w:val="0"/>
          <w:numId w:val="1004"/>
        </w:numPr>
        <w:pStyle w:val="Compact"/>
      </w:pPr>
      <w:r>
        <w:rPr>
          <w:bCs/>
          <w:b/>
        </w:rPr>
        <w:t xml:space="preserve">Localized Pricing Tiers:</w:t>
      </w:r>
      <w:r>
        <w:t xml:space="preserve"> </w:t>
      </w:r>
      <w:r>
        <w:t xml:space="preserve">Introducing "SINTA-Compliant" pricing packages that align with Indonesia's journal indexing system, offering 15% discounts for SINTA-ranked institutions</w:t>
      </w:r>
    </w:p>
    <w:p>
      <w:pPr>
        <w:numPr>
          <w:ilvl w:val="0"/>
          <w:numId w:val="1004"/>
        </w:numPr>
        <w:pStyle w:val="Compact"/>
      </w:pPr>
      <w:r>
        <w:rPr>
          <w:bCs/>
          <w:b/>
        </w:rPr>
        <w:t xml:space="preserve">Researcher Ambassador Program:</w:t>
      </w:r>
      <w:r>
        <w:t xml:space="preserve"> </w:t>
      </w:r>
      <w:r>
        <w:t xml:space="preserve">Recruiting 20 prominent Jakarta-based academic researchers (including two at ITB and three at UGM) to serve as product advocates and co-develop features</w:t>
      </w:r>
    </w:p>
    <w:p>
      <w:pPr>
        <w:numPr>
          <w:ilvl w:val="0"/>
          <w:numId w:val="1004"/>
        </w:numPr>
        <w:pStyle w:val="Compact"/>
      </w:pPr>
      <w:r>
        <w:rPr>
          <w:bCs/>
          <w:b/>
        </w:rPr>
        <w:t xml:space="preserve">Data Sovereignty Guarantee:</w:t>
      </w:r>
      <w:r>
        <w:t xml:space="preserve"> </w:t>
      </w:r>
      <w:r>
        <w:t xml:space="preserve">Partnering with Indonesia's Ministry of Communication to establish Jakarta-based data centers for all researcher accounts – a key differentiator in our sales pitch</w:t>
      </w:r>
    </w:p>
    <w:bookmarkEnd w:id="24"/>
    <w:bookmarkStart w:id="25" w:name="Xb5decf0460c282064a1d2314469ec26146dd373"/>
    <w:p>
      <w:pPr>
        <w:pStyle w:val="Heading2"/>
      </w:pPr>
      <w:r>
        <w:t xml:space="preserve">Conclusion: The Jakarta Academic Research Imperative</w:t>
      </w:r>
    </w:p>
    <w:p>
      <w:pPr>
        <w:pStyle w:val="FirstParagraph"/>
      </w:pPr>
      <w:r>
        <w:t xml:space="preserve">The Indonesia Jakarta academic research market represents a strategic growth frontier requiring nuanced understanding. Our Q3 performance demonstrates that when sales strategies directly address Indonesia's unique research ecosystem – particularly through data sovereignty compliance, SINTA integration, and multi-stakeholder engagement – substantial revenue growth is achievable. We project 22% year-over-year expansion for the</w:t>
      </w:r>
      <w:r>
        <w:t xml:space="preserve"> </w:t>
      </w:r>
      <w:r>
        <w:rPr>
          <w:bCs/>
          <w:b/>
        </w:rPr>
        <w:t xml:space="preserve">Academic Researcher</w:t>
      </w:r>
      <w:r>
        <w:t xml:space="preserve"> </w:t>
      </w:r>
      <w:r>
        <w:t xml:space="preserve">segment in Jakarta by Q4 2025, driven by our new localization initiatives.</w:t>
      </w:r>
    </w:p>
    <w:p>
      <w:pPr>
        <w:pStyle w:val="BodyText"/>
      </w:pPr>
      <w:r>
        <w:t xml:space="preserve">For Indonesia's research community, this isn't merely a sales transaction but an investment in national scientific advancement. As Jakarta continues to solidify its position as Southeast Asia's research capital under Indonesia's National Innovation Strategy, our sales approach must remain deeply embedded in the local academic reality. The success of our</w:t>
      </w:r>
      <w:r>
        <w:t xml:space="preserve"> </w:t>
      </w:r>
      <w:r>
        <w:rPr>
          <w:bCs/>
          <w:b/>
        </w:rPr>
        <w:t xml:space="preserve">Sales Report</w:t>
      </w:r>
      <w:r>
        <w:t xml:space="preserve"> </w:t>
      </w:r>
      <w:r>
        <w:t xml:space="preserve">metrics will ultimately be measured not just by revenue, but by the number of Indonesian researchers empowered to publish internationally and drive meaningful innovation within Jakarta and across Indonesia.</w:t>
      </w:r>
    </w:p>
    <w:p>
      <w:pPr>
        <w:pStyle w:val="BodyText"/>
      </w:pPr>
      <w:r>
        <w:rPr>
          <w:iCs/>
          <w:i/>
        </w:rPr>
        <w:t xml:space="preserve">Prepared for Executive Leadership: October 26, 2024 | Sales Performance Period: July-September 2024 | Geographic Focus: Jakarta Metropolitan Area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Indonesia Jakarta Market</dc:title>
  <dc:creator/>
  <dc:language>en</dc:language>
  <cp:keywords/>
  <dcterms:created xsi:type="dcterms:W3CDTF">2026-07-24T09:58:52Z</dcterms:created>
  <dcterms:modified xsi:type="dcterms:W3CDTF">2026-07-24T09:58:52Z</dcterms:modified>
</cp:coreProperties>
</file>

<file path=docProps/custom.xml><?xml version="1.0" encoding="utf-8"?>
<Properties xmlns="http://schemas.openxmlformats.org/officeDocument/2006/custom-properties" xmlns:vt="http://schemas.openxmlformats.org/officeDocument/2006/docPropsVTypes"/>
</file>