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ae8c20304d6ec962006770a872f5901d17801ca"/>
    <w:p>
      <w:pPr>
        <w:pStyle w:val="Heading1"/>
      </w:pPr>
      <w:r>
        <w:t xml:space="preserve">Annual Sales Report: Academic Researcher Market Performance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Market Intelligence Division, Tehran Operations</w:t>
      </w:r>
    </w:p>
    <w:bookmarkStart w:id="20" w:name="i.-executive-summary"/>
    <w:p>
      <w:pPr>
        <w:pStyle w:val="Heading2"/>
      </w:pPr>
      <w:r>
        <w:t xml:space="preserve">I. Executive Summary</w:t>
      </w:r>
    </w:p>
    <w:p>
      <w:pPr>
        <w:pStyle w:val="FirstParagraph"/>
      </w:pPr>
      <w:r>
        <w:t xml:space="preserve">This Sales Report details the performance and strategic outlook for academic research services within Iran's capital city, Tehran. As the intellectual epicenter of Iran, Tehran hosts over 170 institutions of higher learning and 45 national research centers where Academic Researchers drive innovation across STEM, humanities, and social sciences. Our sales data reveals a 22% year-over-year growth in demand for specialized research tools and collaborative platforms among Academic Researchers in Tehran. This growth is directly tied to Iran's National Science Plan 2030, which prioritizes academic research funding. The report identifies key opportunities for market expansion while addressing unique challenges within the Tehran academic ecosystem.</w:t>
      </w:r>
    </w:p>
    <w:bookmarkEnd w:id="20"/>
    <w:bookmarkStart w:id="21" w:name="X1f98c181e46046f5b428e0f461b3334b809f95b"/>
    <w:p>
      <w:pPr>
        <w:pStyle w:val="Heading2"/>
      </w:pPr>
      <w:r>
        <w:t xml:space="preserve">II. Market Context: Academic Researcher Landscape in Iran Tehran</w:t>
      </w:r>
    </w:p>
    <w:p>
      <w:pPr>
        <w:pStyle w:val="FirstParagraph"/>
      </w:pPr>
      <w:r>
        <w:t xml:space="preserve">Tehran serves as the undisputed hub of Iran's academic community, housing 63% of the country's research personnel and 78% of national research grants. The city's 52 universities (including elite institutions like Sharif University and Tehran University) employ over 45,000 Academic Researchers who generate more than 12,000 peer-reviewed publications annually. Crucially, this market operates within Iran's unique regulatory framework where academic research must align with national priorities in energy, healthcare, and nanotechnology. The recent increase in government R&amp;D expenditure to 1.8% of GDP has intensified competition for high-value research services among Academic Researchers across Tehran.</w:t>
      </w:r>
    </w:p>
    <w:bookmarkEnd w:id="21"/>
    <w:bookmarkStart w:id="22" w:name="iii.-sales-performance-analysis"/>
    <w:p>
      <w:pPr>
        <w:pStyle w:val="Heading2"/>
      </w:pPr>
      <w:r>
        <w:t xml:space="preserve">III. Sales Performance Analysis</w:t>
      </w:r>
    </w:p>
    <w:p>
      <w:pPr>
        <w:pStyle w:val="FirstParagraph"/>
      </w:pPr>
      <w:r>
        <w:rPr>
          <w:bCs/>
          <w:b/>
        </w:rPr>
        <w:t xml:space="preserve">Key Metrics (Q3 2023):</w:t>
      </w:r>
    </w:p>
    <w:p>
      <w:pPr>
        <w:numPr>
          <w:ilvl w:val="0"/>
          <w:numId w:val="1001"/>
        </w:numPr>
        <w:pStyle w:val="Compact"/>
      </w:pPr>
      <w:r>
        <w:rPr>
          <w:bCs/>
          <w:b/>
        </w:rPr>
        <w:t xml:space="preserve">Sales Volume:</w:t>
      </w:r>
      <w:r>
        <w:t xml:space="preserve"> </w:t>
      </w:r>
      <w:r>
        <w:t xml:space="preserve">1,847 contracts signed with Academic Researchers in Tehran (+31% YoY)</w:t>
      </w:r>
    </w:p>
    <w:p>
      <w:pPr>
        <w:numPr>
          <w:ilvl w:val="0"/>
          <w:numId w:val="1001"/>
        </w:numPr>
        <w:pStyle w:val="Compact"/>
      </w:pPr>
      <w:r>
        <w:rPr>
          <w:bCs/>
          <w:b/>
        </w:rPr>
        <w:t xml:space="preserve">Average Deal Size:</w:t>
      </w:r>
      <w:r>
        <w:t xml:space="preserve"> </w:t>
      </w:r>
      <w:r>
        <w:t xml:space="preserve">$8,500 (up 19% from last year)</w:t>
      </w:r>
    </w:p>
    <w:p>
      <w:pPr>
        <w:numPr>
          <w:ilvl w:val="0"/>
          <w:numId w:val="1001"/>
        </w:numPr>
        <w:pStyle w:val="Compact"/>
      </w:pPr>
      <w:r>
        <w:t xml:space="preserve">Data analytics suites (42%), Collaborative Research Platforms (35%), Specialized Literature Databases (23%)</w:t>
      </w:r>
    </w:p>
    <w:p>
      <w:pPr>
        <w:numPr>
          <w:ilvl w:val="0"/>
          <w:numId w:val="1001"/>
        </w:numPr>
        <w:pStyle w:val="Compact"/>
      </w:pPr>
      <w:r>
        <w:rPr>
          <w:bCs/>
          <w:b/>
        </w:rPr>
        <w:t xml:space="preserve">Customer Acquisition Cost:</w:t>
      </w:r>
      <w:r>
        <w:t xml:space="preserve"> </w:t>
      </w:r>
      <w:r>
        <w:t xml:space="preserve">$1,800 per Academic Researcher (+8% from 2022)</w:t>
      </w:r>
    </w:p>
    <w:p>
      <w:pPr>
        <w:pStyle w:val="FirstParagraph"/>
      </w:pPr>
      <w:r>
        <w:t xml:space="preserve">The most significant growth occurred in the healthcare research sector, where sales surged by 47% following Tehran University's new medical innovation fund. Academic Researchers in Tehran demonstrated particular interest in cloud-based platforms that comply with Iran's data sovereignty regulations (Article 15 of Cyber Security Act). Notably, institutions like Imam Khomeini Hospital Research Center accounted for 18% of total sales volume this quarter.</w:t>
      </w:r>
    </w:p>
    <w:bookmarkEnd w:id="22"/>
    <w:bookmarkStart w:id="23" w:name="iv.-tehran-specific-market-challenges"/>
    <w:p>
      <w:pPr>
        <w:pStyle w:val="Heading2"/>
      </w:pPr>
      <w:r>
        <w:t xml:space="preserve">IV. Tehran-Specific Market Challenges</w:t>
      </w:r>
    </w:p>
    <w:p>
      <w:pPr>
        <w:pStyle w:val="FirstParagraph"/>
      </w:pPr>
      <w:r>
        <w:t xml:space="preserve">While growth is robust, Academic Researchers in Iran's capital face three systemic barriers affecting sales potential:</w:t>
      </w:r>
    </w:p>
    <w:p>
      <w:pPr>
        <w:numPr>
          <w:ilvl w:val="0"/>
          <w:numId w:val="1002"/>
        </w:numPr>
        <w:pStyle w:val="Compact"/>
      </w:pPr>
      <w:r>
        <w:rPr>
          <w:bCs/>
          <w:b/>
        </w:rPr>
        <w:t xml:space="preserve">Resource Constraints:</w:t>
      </w:r>
      <w:r>
        <w:t xml:space="preserve"> </w:t>
      </w:r>
      <w:r>
        <w:t xml:space="preserve">76% of Tehran-based Academic Researchers reported budget limitations due to currency fluctuations. Despite increased government funding, inflation has reduced real-term purchasing power by 28% since 2021.</w:t>
      </w:r>
    </w:p>
    <w:p>
      <w:pPr>
        <w:numPr>
          <w:ilvl w:val="0"/>
          <w:numId w:val="1002"/>
        </w:numPr>
        <w:pStyle w:val="Compact"/>
      </w:pPr>
      <w:r>
        <w:rPr>
          <w:bCs/>
          <w:b/>
        </w:rPr>
        <w:t xml:space="preserve">Regulatory Complexities:</w:t>
      </w:r>
      <w:r>
        <w:t xml:space="preserve"> </w:t>
      </w:r>
      <w:r>
        <w:t xml:space="preserve">Export restrictions on research software and data localization requirements create sales friction. For example, platforms requiring international server access face approval delays averaging 47 days from Iran's IT Ministry.</w:t>
      </w:r>
    </w:p>
    <w:p>
      <w:pPr>
        <w:numPr>
          <w:ilvl w:val="0"/>
          <w:numId w:val="1002"/>
        </w:numPr>
        <w:pStyle w:val="Compact"/>
      </w:pPr>
      <w:r>
        <w:rPr>
          <w:bCs/>
          <w:b/>
        </w:rPr>
        <w:t xml:space="preserve">Cultural Adaptation Gaps:</w:t>
      </w:r>
      <w:r>
        <w:t xml:space="preserve"> </w:t>
      </w:r>
      <w:r>
        <w:t xml:space="preserve">Western-centric research tools often lack Persian-language support or fail to accommodate Iranian academic citation standards (e.g., IRENA indexing system), reducing adoption rates by 34% among Tehran-based users.</w:t>
      </w:r>
    </w:p>
    <w:bookmarkEnd w:id="23"/>
    <w:bookmarkStart w:id="24" w:name="v.-strategic-opportunities-in-tehran"/>
    <w:p>
      <w:pPr>
        <w:pStyle w:val="Heading2"/>
      </w:pPr>
      <w:r>
        <w:t xml:space="preserve">V. Strategic Opportunities in Tehran</w:t>
      </w:r>
    </w:p>
    <w:p>
      <w:pPr>
        <w:pStyle w:val="FirstParagraph"/>
      </w:pPr>
      <w:r>
        <w:t xml:space="preserve">Tehran presents three high-potential growth vectors for sales expansion:</w:t>
      </w:r>
    </w:p>
    <w:p>
      <w:pPr>
        <w:numPr>
          <w:ilvl w:val="0"/>
          <w:numId w:val="1003"/>
        </w:numPr>
        <w:pStyle w:val="Compact"/>
      </w:pPr>
      <w:r>
        <w:rPr>
          <w:bCs/>
          <w:b/>
        </w:rPr>
        <w:t xml:space="preserve">Government Partnership Programs:</w:t>
      </w:r>
      <w:r>
        <w:t xml:space="preserve"> </w:t>
      </w:r>
      <w:r>
        <w:t xml:space="preserve">The Ministry of Science's "Research Excellence Initiative" allocates $35M annually for institutional software adoption. We've secured pilot projects with 12 Tehran universities under this program.</w:t>
      </w:r>
    </w:p>
    <w:p>
      <w:pPr>
        <w:numPr>
          <w:ilvl w:val="0"/>
          <w:numId w:val="1003"/>
        </w:numPr>
        <w:pStyle w:val="Compact"/>
      </w:pPr>
      <w:r>
        <w:rPr>
          <w:bCs/>
          <w:b/>
        </w:rPr>
        <w:t xml:space="preserve">Nanotechnology Sector Demand:</w:t>
      </w:r>
      <w:r>
        <w:t xml:space="preserve"> </w:t>
      </w:r>
      <w:r>
        <w:t xml:space="preserve">Tehran's National Nanotechnology Center drives 17% of regional research contracts. Sales of specialized simulation tools in this niche grew by 63% QoQ, signaling strong market receptivity.</w:t>
      </w:r>
    </w:p>
    <w:p>
      <w:pPr>
        <w:numPr>
          <w:ilvl w:val="0"/>
          <w:numId w:val="1003"/>
        </w:numPr>
        <w:pStyle w:val="Compact"/>
      </w:pPr>
      <w:r>
        <w:rPr>
          <w:bCs/>
          <w:b/>
        </w:rPr>
        <w:t xml:space="preserve">Academic Researcher Certification Programs:</w:t>
      </w:r>
      <w:r>
        <w:t xml:space="preserve"> </w:t>
      </w:r>
      <w:r>
        <w:t xml:space="preserve">A new partnership with the Iranian Academy of Sciences to certify research software users has generated 200+ qualified leads monthly among Tehran-based Academic Researchers.</w:t>
      </w:r>
    </w:p>
    <w:bookmarkEnd w:id="24"/>
    <w:bookmarkStart w:id="25" w:name="X27140e012d8ee1204c51e4e982a82438496535d"/>
    <w:p>
      <w:pPr>
        <w:pStyle w:val="Heading2"/>
      </w:pPr>
      <w:r>
        <w:t xml:space="preserve">VI. Recommendations for Sales Optimization</w:t>
      </w:r>
    </w:p>
    <w:p>
      <w:pPr>
        <w:pStyle w:val="FirstParagraph"/>
      </w:pPr>
      <w:r>
        <w:t xml:space="preserve">To maximize sales impact within Iran Tehran's academic ecosystem, we propose:</w:t>
      </w:r>
    </w:p>
    <w:p>
      <w:pPr>
        <w:numPr>
          <w:ilvl w:val="0"/>
          <w:numId w:val="1004"/>
        </w:numPr>
        <w:pStyle w:val="Compact"/>
      </w:pPr>
      <w:r>
        <w:rPr>
          <w:bCs/>
          <w:b/>
        </w:rPr>
        <w:t xml:space="preserve">Localized Product Development:</w:t>
      </w:r>
      <w:r>
        <w:t xml:space="preserve"> </w:t>
      </w:r>
      <w:r>
        <w:t xml:space="preserve">Invest $150K in Persian-language UI/UX redesign and integration with Iran's national research databases (e.g., IRANMED). This addresses the 34% adoption barrier identified in our market analysis.</w:t>
      </w:r>
    </w:p>
    <w:p>
      <w:pPr>
        <w:numPr>
          <w:ilvl w:val="0"/>
          <w:numId w:val="1004"/>
        </w:numPr>
        <w:pStyle w:val="Compact"/>
      </w:pPr>
      <w:r>
        <w:rPr>
          <w:bCs/>
          <w:b/>
        </w:rPr>
        <w:t xml:space="preserve">Tehran University Partnerships:</w:t>
      </w:r>
      <w:r>
        <w:t xml:space="preserve"> </w:t>
      </w:r>
      <w:r>
        <w:t xml:space="preserve">Establish dedicated sales teams at Sharif University and Tehran University to co-develop solutions. These institutions represent 38% of total Academic Researcher sales volume in the capital.</w:t>
      </w:r>
    </w:p>
    <w:p>
      <w:pPr>
        <w:numPr>
          <w:ilvl w:val="0"/>
          <w:numId w:val="1004"/>
        </w:numPr>
        <w:pStyle w:val="Compact"/>
      </w:pPr>
      <w:r>
        <w:rPr>
          <w:bCs/>
          <w:b/>
        </w:rPr>
        <w:t xml:space="preserve">Regulatory Navigation Unit:</w:t>
      </w:r>
      <w:r>
        <w:t xml:space="preserve"> </w:t>
      </w:r>
      <w:r>
        <w:t xml:space="preserve">Create a specialized compliance team to streamline approvals through Iran's IT Ministry, reducing contract timelines from 47 to 15 days.</w:t>
      </w:r>
    </w:p>
    <w:p>
      <w:pPr>
        <w:numPr>
          <w:ilvl w:val="0"/>
          <w:numId w:val="1004"/>
        </w:numPr>
        <w:pStyle w:val="Compact"/>
      </w:pPr>
      <w:r>
        <w:rPr>
          <w:bCs/>
          <w:b/>
        </w:rPr>
        <w:t xml:space="preserve">Data Sovereignty Guarantee:</w:t>
      </w:r>
      <w:r>
        <w:t xml:space="preserve"> </w:t>
      </w:r>
      <w:r>
        <w:t xml:space="preserve">Offer locally hosted solutions with Tehran-based server infrastructure (currently lacking in 89% of competing platforms) to comply with national data laws.</w:t>
      </w:r>
    </w:p>
    <w:bookmarkEnd w:id="25"/>
    <w:bookmarkStart w:id="26" w:name="vii.-conclusion"/>
    <w:p>
      <w:pPr>
        <w:pStyle w:val="Heading2"/>
      </w:pPr>
      <w:r>
        <w:t xml:space="preserve">VII. Conclusion</w:t>
      </w:r>
    </w:p>
    <w:p>
      <w:pPr>
        <w:pStyle w:val="FirstParagraph"/>
      </w:pPr>
      <w:r>
        <w:t xml:space="preserve">The Academic Researcher market in Iran Tehran represents a strategically vital growth engine for our business, characterized by robust demand, government support, and clear opportunity corridors. While challenges around resource constraints and regulatory navigation exist, they are surmountable through localized solutions tailored to Tehran's unique academic environment. Our 22% sales growth trajectory positions us for leadership in this market – particularly as Iran accelerates its science-driven economic development under National Science Plan 2030.</w:t>
      </w:r>
    </w:p>
    <w:p>
      <w:pPr>
        <w:pStyle w:val="BodyText"/>
      </w:pPr>
      <w:r>
        <w:t xml:space="preserve">Immediate action on our recommendations will allow us to capture an estimated $1.8M in additional revenue from Tehran Academic Researchers within the next 18 months. By embedding ourselves within Tehran's research infrastructure through partnerships with key institutions like Imam Khomeini Hospital Research Center and Tehran University, we transform from a service provider into an indispensable partner for Iran's academic advancement.</w:t>
      </w:r>
    </w:p>
    <w:p>
      <w:pPr>
        <w:pStyle w:val="BodyText"/>
      </w:pPr>
      <w:r>
        <w:rPr>
          <w:bCs/>
          <w:b/>
        </w:rPr>
        <w:t xml:space="preserve">Final Note:</w:t>
      </w:r>
      <w:r>
        <w:t xml:space="preserve"> </w:t>
      </w:r>
      <w:r>
        <w:t xml:space="preserve">This Sales Report underscores that success in the Iran Tehran market requires deep contextual understanding – not just transactional sales. The Academic Researcher is not merely a customer but a co-creator of scientific progress whose needs must guide our strategic evolution. Our next quarter's focus must shift from selling products to enabling research excellence across Tehran's academic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 Iran Tehran</dc:title>
  <dc:creator/>
  <dc:language>en</dc:language>
  <cp:keywords/>
  <dcterms:created xsi:type="dcterms:W3CDTF">2025-12-11T12:35:00Z</dcterms:created>
  <dcterms:modified xsi:type="dcterms:W3CDTF">2025-12-11T12:35:00Z</dcterms:modified>
</cp:coreProperties>
</file>

<file path=docProps/custom.xml><?xml version="1.0" encoding="utf-8"?>
<Properties xmlns="http://schemas.openxmlformats.org/officeDocument/2006/custom-properties" xmlns:vt="http://schemas.openxmlformats.org/officeDocument/2006/docPropsVTypes"/>
</file>