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Baghdad,</w:t>
      </w:r>
      <w:r>
        <w:t xml:space="preserve"> </w:t>
      </w:r>
      <w:r>
        <w:t xml:space="preserve">Iraq</w:t>
      </w:r>
    </w:p>
    <w:bookmarkStart w:id="31" w:name="Xe73f0810bd6e4e5474c23a3a655fe9a478f74b0"/>
    <w:p>
      <w:pPr>
        <w:pStyle w:val="Heading1"/>
      </w:pPr>
      <w:r>
        <w:t xml:space="preserve">Q3 2023 Sales Performance Report: Academic Researcher Service Delivery in Baghdad, Iraq</w:t>
      </w:r>
    </w:p>
    <w:bookmarkStart w:id="20" w:name="executive-summary"/>
    <w:p>
      <w:pPr>
        <w:pStyle w:val="Heading2"/>
      </w:pPr>
      <w:r>
        <w:t xml:space="preserve">Executive Summary</w:t>
      </w:r>
    </w:p>
    <w:p>
      <w:pPr>
        <w:pStyle w:val="FirstParagraph"/>
      </w:pPr>
      <w:r>
        <w:t xml:space="preserve">This comprehensive sales report details the performance of academic researcher-led service initiatives within Baghdad's higher education ecosystem during Q3 2023 (July-September). The document highlights significant growth in demand for research-based solutions across Iraqi governmental, non-profit, and private sector organizations. As key contributors to Iraq's knowledge economy, academic researchers have successfully positioned themselves as critical service providers in Baghdad's evolving market landscape. This report demonstrates a 37% year-over-year increase in revenue generation directly attributable to academic researcher-driven sales initiatives within the Baghdad region.</w:t>
      </w:r>
    </w:p>
    <w:bookmarkEnd w:id="20"/>
    <w:bookmarkStart w:id="21" w:name="X187e8a4b0d7f54b0393420756be3747b1d15d62"/>
    <w:p>
      <w:pPr>
        <w:pStyle w:val="Heading2"/>
      </w:pPr>
      <w:r>
        <w:t xml:space="preserve">Market Context: Academic Researcher Demand in Iraq Baghdad</w:t>
      </w:r>
    </w:p>
    <w:p>
      <w:pPr>
        <w:pStyle w:val="FirstParagraph"/>
      </w:pPr>
      <w:r>
        <w:t xml:space="preserve">Bags, the capital city of Iraq, has experienced unprecedented demand for evidence-based solutions since 2021. The Iraqi government's National Strategy for Education (2021-2035) specifically emphasizes leveraging academic research to address national challenges. This shift has transformed Baghdad-based academic researchers from traditional scholars into strategic business development professionals. Our analysis shows that 78% of surveyed Baghdad institutions now require researchers to actively pursue client acquisition, fundamentally changing the role of the "academic researcher" in Iraq's professional landscape.</w:t>
      </w:r>
    </w:p>
    <w:bookmarkEnd w:id="21"/>
    <w:bookmarkStart w:id="24" w:name="q3-sales-performance-breakdown"/>
    <w:p>
      <w:pPr>
        <w:pStyle w:val="Heading2"/>
      </w:pPr>
      <w:r>
        <w:t xml:space="preserve">Q3 Sales Performance Breakdown</w:t>
      </w:r>
    </w:p>
    <w:bookmarkStart w:id="22" w:name="revenue-streams-growth-metrics"/>
    <w:p>
      <w:pPr>
        <w:pStyle w:val="Heading3"/>
      </w:pPr>
      <w:r>
        <w:t xml:space="preserve">Revenue Streams &amp; Growth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(USD)</w:t>
            </w:r>
          </w:p>
        </w:tc>
        <w:tc>
          <w:tcPr/>
          <w:p>
            <w:pPr>
              <w:pStyle w:val="Compact"/>
              <w:jc w:val="left"/>
            </w:pPr>
            <w:r>
              <w:t xml:space="preserve">% Growth vs Q2 2023</w:t>
            </w:r>
          </w:p>
        </w:tc>
        <w:tc>
          <w:tcPr/>
          <w:p>
            <w:pPr>
              <w:pStyle w:val="Compact"/>
              <w:jc w:val="left"/>
            </w:pPr>
            <w:r>
              <w:t xml:space="preserve">Key Client Sectors in Baghdad</w:t>
            </w:r>
          </w:p>
        </w:tc>
      </w:tr>
      <w:tr>
        <w:tc>
          <w:tcPr/>
          <w:p>
            <w:pPr>
              <w:pStyle w:val="Compact"/>
              <w:jc w:val="left"/>
            </w:pPr>
            <w:r>
              <w:t xml:space="preserve">Government Policy Research</w:t>
            </w:r>
          </w:p>
        </w:tc>
        <w:tc>
          <w:tcPr/>
          <w:p>
            <w:pPr>
              <w:pStyle w:val="Compact"/>
              <w:jc w:val="left"/>
            </w:pPr>
            <w:r>
              <w:t xml:space="preserve">$185,400</w:t>
            </w:r>
          </w:p>
        </w:tc>
        <w:tc>
          <w:tcPr/>
          <w:p>
            <w:pPr>
              <w:pStyle w:val="Compact"/>
              <w:jc w:val="left"/>
            </w:pPr>
            <w:r>
              <w:t xml:space="preserve">+29%</w:t>
            </w:r>
          </w:p>
        </w:tc>
        <w:tc>
          <w:tcPr/>
          <w:p>
            <w:pPr>
              <w:pStyle w:val="Compact"/>
              <w:jc w:val="left"/>
            </w:pPr>
            <w:r>
              <w:t xml:space="preserve">Ministry of Planning, Provincial Councils, Civil Society Organizations</w:t>
            </w:r>
          </w:p>
        </w:tc>
      </w:tr>
      <w:tr>
        <w:tc>
          <w:tcPr/>
          <w:p>
            <w:pPr>
              <w:pStyle w:val="Compact"/>
              <w:jc w:val="left"/>
            </w:pPr>
            <w:r>
              <w:t xml:space="preserve">Private Sector Market Analysis</w:t>
            </w:r>
          </w:p>
        </w:tc>
        <w:tc>
          <w:tcPr/>
          <w:p>
            <w:pPr>
              <w:pStyle w:val="Compact"/>
              <w:jc w:val="left"/>
            </w:pPr>
            <w:r>
              <w:t xml:space="preserve">$127,800</w:t>
            </w:r>
          </w:p>
        </w:tc>
        <w:tc>
          <w:tcPr/>
          <w:p>
            <w:pPr>
              <w:pStyle w:val="Compact"/>
              <w:jc w:val="left"/>
            </w:pPr>
            <w:r>
              <w:t xml:space="preserve">+34%</w:t>
            </w:r>
          </w:p>
        </w:tc>
        <w:tc>
          <w:tcPr/>
          <w:p>
            <w:pPr>
              <w:pStyle w:val="Compact"/>
              <w:jc w:val="left"/>
            </w:pPr>
            <w:r>
              <w:t xml:space="preserve">Banks (Bank Al-Rafidain), Telecom Providers (Zain Iraq), Retail Chains</w:t>
            </w:r>
          </w:p>
        </w:tc>
      </w:tr>
      <w:tr>
        <w:tc>
          <w:tcPr/>
          <w:p>
            <w:pPr>
              <w:pStyle w:val="Compact"/>
              <w:jc w:val="left"/>
            </w:pPr>
            <w:r>
              <w:t xml:space="preserve">UN/NGO Capacity Building</w:t>
            </w:r>
          </w:p>
        </w:tc>
        <w:tc>
          <w:tcPr/>
          <w:p>
            <w:pPr>
              <w:pStyle w:val="Compact"/>
              <w:jc w:val="left"/>
            </w:pPr>
            <w:r>
              <w:t xml:space="preserve">$98,600</w:t>
            </w:r>
          </w:p>
        </w:tc>
        <w:tc>
          <w:tcPr/>
          <w:p>
            <w:pPr>
              <w:pStyle w:val="Compact"/>
              <w:jc w:val="left"/>
            </w:pPr>
            <w:r>
              <w:t xml:space="preserve">+22%</w:t>
            </w:r>
          </w:p>
        </w:tc>
        <w:tc>
          <w:tcPr/>
          <w:p>
            <w:pPr>
              <w:pStyle w:val="Compact"/>
              <w:jc w:val="left"/>
            </w:pPr>
            <w:r>
              <w:t xml:space="preserve">UNDP Iraq, World Bank Projects, Local NGOs (e.g., Al-Amal Foundation)</w:t>
            </w:r>
          </w:p>
        </w:tc>
      </w:tr>
      <w:tr>
        <w:tc>
          <w:tcPr/>
          <w:p>
            <w:pPr>
              <w:pStyle w:val="Compact"/>
              <w:jc w:val="left"/>
            </w:pPr>
            <w:r>
              <w:rPr>
                <w:bCs/>
                <w:b/>
              </w:rPr>
              <w:t xml:space="preserve">Total Revenue</w:t>
            </w:r>
          </w:p>
        </w:tc>
        <w:tc>
          <w:tcPr/>
          <w:p>
            <w:pPr>
              <w:pStyle w:val="Compact"/>
              <w:jc w:val="left"/>
            </w:pPr>
            <w:r>
              <w:rPr>
                <w:bCs/>
                <w:b/>
              </w:rPr>
              <w:t xml:space="preserve">$411,800</w:t>
            </w:r>
          </w:p>
        </w:tc>
        <w:tc>
          <w:tcPr/>
          <w:p>
            <w:pPr>
              <w:pStyle w:val="Compact"/>
              <w:jc w:val="left"/>
            </w:pPr>
            <w:r>
              <w:rPr>
                <w:bCs/>
                <w:b/>
              </w:rPr>
              <w:t xml:space="preserve">+37% YoY</w:t>
            </w:r>
          </w:p>
        </w:tc>
        <w:tc>
          <w:tcPr/>
          <w:p>
            <w:pPr>
              <w:pStyle w:val="Compact"/>
            </w:pPr>
          </w:p>
        </w:tc>
      </w:tr>
    </w:tbl>
    <w:bookmarkEnd w:id="22"/>
    <w:bookmarkStart w:id="23" w:name="X0cf9fc87261cf26acf47deb608781cf80caaded"/>
    <w:p>
      <w:pPr>
        <w:pStyle w:val="Heading3"/>
      </w:pPr>
      <w:r>
        <w:t xml:space="preserve">Key Sales Achievement: Baghdad's Research Market Expansion</w:t>
      </w:r>
    </w:p>
    <w:p>
      <w:pPr>
        <w:pStyle w:val="FirstParagraph"/>
      </w:pPr>
      <w:r>
        <w:t xml:space="preserve">The most significant development in Q3 was the acquisition of three major government contracts through academic researcher-led sales processes. These include:</w:t>
      </w:r>
    </w:p>
    <w:p>
      <w:pPr>
        <w:numPr>
          <w:ilvl w:val="0"/>
          <w:numId w:val="1001"/>
        </w:numPr>
        <w:pStyle w:val="Compact"/>
      </w:pPr>
      <w:r>
        <w:t xml:space="preserve">A $95,000 contract with the Baghdad Governorate to conduct urban mobility analysis (secured by Dr. Layla Hassan, Urban Studies Researcher at University of Baghdad)</w:t>
      </w:r>
    </w:p>
    <w:p>
      <w:pPr>
        <w:numPr>
          <w:ilvl w:val="0"/>
          <w:numId w:val="1001"/>
        </w:numPr>
        <w:pStyle w:val="Compact"/>
      </w:pPr>
      <w:r>
        <w:t xml:space="preserve">A $72,300 agreement with the Ministry of Health for healthcare access research (negotiated by Prof. Ahmed Al-Musawi, Public Health Researcher at Mustansiriya University)</w:t>
      </w:r>
    </w:p>
    <w:p>
      <w:pPr>
        <w:numPr>
          <w:ilvl w:val="0"/>
          <w:numId w:val="1001"/>
        </w:numPr>
        <w:pStyle w:val="Compact"/>
      </w:pPr>
      <w:r>
        <w:t xml:space="preserve">A $48,500 partnership with Iraq's Central Bank for financial inclusion studies (closed by Dr. Nada Hussein, Economics Researcher at Al-Mustafa University)</w:t>
      </w:r>
    </w:p>
    <w:bookmarkEnd w:id="23"/>
    <w:bookmarkEnd w:id="24"/>
    <w:bookmarkStart w:id="25" w:name="researcher-sales-performance-analysis"/>
    <w:p>
      <w:pPr>
        <w:pStyle w:val="Heading2"/>
      </w:pPr>
      <w:r>
        <w:t xml:space="preserve">Researcher Sales Performance Analysis</w:t>
      </w:r>
    </w:p>
    <w:p>
      <w:pPr>
        <w:pStyle w:val="FirstParagraph"/>
      </w:pPr>
      <w:r>
        <w:t xml:space="preserve">The sales effectiveness of academic researchers in Baghdad directly correlates with their domain expertise and local market knowledge. Our internal data shows:</w:t>
      </w:r>
    </w:p>
    <w:p>
      <w:pPr>
        <w:numPr>
          <w:ilvl w:val="0"/>
          <w:numId w:val="1002"/>
        </w:numPr>
        <w:pStyle w:val="Compact"/>
      </w:pPr>
      <w:r>
        <w:t xml:space="preserve">Researchers with 5+ years' field experience in Baghdad secured 68% of all new contracts</w:t>
      </w:r>
    </w:p>
    <w:p>
      <w:pPr>
        <w:numPr>
          <w:ilvl w:val="0"/>
          <w:numId w:val="1002"/>
        </w:numPr>
        <w:pStyle w:val="Compact"/>
      </w:pPr>
      <w:r>
        <w:t xml:space="preserve">Projects incorporating Arabic-language deliverables achieved 27% higher client retention rates</w:t>
      </w:r>
    </w:p>
    <w:p>
      <w:pPr>
        <w:numPr>
          <w:ilvl w:val="0"/>
          <w:numId w:val="1002"/>
        </w:numPr>
        <w:pStyle w:val="Compact"/>
      </w:pPr>
      <w:r>
        <w:t xml:space="preserve">34% of sales resulted from researchers participating in Baghdad Chamber of Commerce networking events (vs. traditional cold-calling)</w:t>
      </w:r>
    </w:p>
    <w:bookmarkEnd w:id="25"/>
    <w:bookmarkStart w:id="26" w:name="X3bb08519abac39f022e9335dd1927a9d0e0ae68"/>
    <w:p>
      <w:pPr>
        <w:pStyle w:val="Heading2"/>
      </w:pPr>
      <w:r>
        <w:t xml:space="preserve">Challenges Faced by Academic Researchers in Baghdad Sales Environment</w:t>
      </w:r>
    </w:p>
    <w:p>
      <w:pPr>
        <w:pStyle w:val="FirstParagraph"/>
      </w:pPr>
      <w:r>
        <w:t xml:space="preserve">The Q3 report identifies critical challenges unique to academic researcher sales operations in Iraq:</w:t>
      </w:r>
    </w:p>
    <w:p>
      <w:pPr>
        <w:numPr>
          <w:ilvl w:val="0"/>
          <w:numId w:val="1003"/>
        </w:numPr>
        <w:pStyle w:val="Compact"/>
      </w:pPr>
      <w:r>
        <w:rPr>
          <w:bCs/>
          <w:b/>
        </w:rPr>
        <w:t xml:space="preserve">Cultural Adaptation:</w:t>
      </w:r>
      <w:r>
        <w:t xml:space="preserve"> </w:t>
      </w:r>
      <w:r>
        <w:t xml:space="preserve">61% of researchers initially struggled with commercial negotiation styles, requiring specialized training programs developed by our Baghdad office.</w:t>
      </w:r>
    </w:p>
    <w:p>
      <w:pPr>
        <w:numPr>
          <w:ilvl w:val="0"/>
          <w:numId w:val="1003"/>
        </w:numPr>
        <w:pStyle w:val="Compact"/>
      </w:pPr>
      <w:r>
        <w:rPr>
          <w:bCs/>
          <w:b/>
        </w:rPr>
        <w:t xml:space="preserve">Security Protocols:</w:t>
      </w:r>
      <w:r>
        <w:t xml:space="preserve"> </w:t>
      </w:r>
      <w:r>
        <w:t xml:space="preserve">Fieldwork for certain research projects required security clearances that delayed project timelines by 15-22 days on average (impacting sales conversion rates).</w:t>
      </w:r>
    </w:p>
    <w:p>
      <w:pPr>
        <w:numPr>
          <w:ilvl w:val="0"/>
          <w:numId w:val="1003"/>
        </w:numPr>
        <w:pStyle w:val="Compact"/>
      </w:pPr>
      <w:r>
        <w:rPr>
          <w:bCs/>
          <w:b/>
        </w:rPr>
        <w:t xml:space="preserve">Funding Volatility:</w:t>
      </w:r>
      <w:r>
        <w:t xml:space="preserve"> </w:t>
      </w:r>
      <w:r>
        <w:t xml:space="preserve">Government budget delays affected 39% of contracted research services, creating payment uncertainty for researchers.</w:t>
      </w:r>
    </w:p>
    <w:bookmarkEnd w:id="26"/>
    <w:bookmarkStart w:id="27" w:name="strategic-initiatives-driving-success"/>
    <w:p>
      <w:pPr>
        <w:pStyle w:val="Heading2"/>
      </w:pPr>
      <w:r>
        <w:t xml:space="preserve">Strategic Initiatives Driving Success</w:t>
      </w:r>
    </w:p>
    <w:p>
      <w:pPr>
        <w:pStyle w:val="FirstParagraph"/>
      </w:pPr>
      <w:r>
        <w:t xml:space="preserve">To overcome these challenges, our Baghdad academic researcher sales team implemented three targeted initiatives:</w:t>
      </w:r>
    </w:p>
    <w:p>
      <w:pPr>
        <w:numPr>
          <w:ilvl w:val="0"/>
          <w:numId w:val="1004"/>
        </w:numPr>
        <w:pStyle w:val="Compact"/>
      </w:pPr>
      <w:r>
        <w:rPr>
          <w:bCs/>
          <w:b/>
        </w:rPr>
        <w:t xml:space="preserve">Baghdad Researcher Sales Certification:</w:t>
      </w:r>
      <w:r>
        <w:t xml:space="preserve"> </w:t>
      </w:r>
      <w:r>
        <w:t xml:space="preserve">A 40-hour program teaching commercial communication and contract negotiation specifically for Iraqi researchers (adopted by 87% of participating academics).</w:t>
      </w:r>
    </w:p>
    <w:p>
      <w:pPr>
        <w:numPr>
          <w:ilvl w:val="0"/>
          <w:numId w:val="1004"/>
        </w:numPr>
        <w:pStyle w:val="Compact"/>
      </w:pPr>
      <w:r>
        <w:rPr>
          <w:bCs/>
          <w:b/>
        </w:rPr>
        <w:t xml:space="preserve">Government Partnership Pipeline:</w:t>
      </w:r>
      <w:r>
        <w:t xml:space="preserve"> </w:t>
      </w:r>
      <w:r>
        <w:t xml:space="preserve">Proactive outreach to Baghdad's Ministry of Higher Education created a formal channel for research service procurement, reducing sales cycle times by 31%.</w:t>
      </w:r>
    </w:p>
    <w:p>
      <w:pPr>
        <w:numPr>
          <w:ilvl w:val="0"/>
          <w:numId w:val="1004"/>
        </w:numPr>
        <w:pStyle w:val="Compact"/>
      </w:pPr>
      <w:r>
        <w:rPr>
          <w:bCs/>
          <w:b/>
        </w:rPr>
        <w:t xml:space="preserve">Localized Digital Platform:</w:t>
      </w:r>
      <w:r>
        <w:t xml:space="preserve"> </w:t>
      </w:r>
      <w:r>
        <w:t xml:space="preserve">Development of "ResearchIraq.net" – a client-facing portal where Baghdad-based researchers showcase completed projects in Arabic/English, increasing inbound leads by 56%.</w:t>
      </w:r>
    </w:p>
    <w:bookmarkEnd w:id="27"/>
    <w:bookmarkStart w:id="28" w:name="X1016327dcfe3d634ac8023f5c59ff15844616f0"/>
    <w:p>
      <w:pPr>
        <w:pStyle w:val="Heading2"/>
      </w:pPr>
      <w:r>
        <w:t xml:space="preserve">Future Outlook for Academic Researcher Sales in Baghdad</w:t>
      </w:r>
    </w:p>
    <w:p>
      <w:pPr>
        <w:pStyle w:val="FirstParagraph"/>
      </w:pPr>
      <w:r>
        <w:t xml:space="preserve">Based on Q3 performance and current market indicators, the following strategic priorities have been established for Q4 2023:</w:t>
      </w:r>
    </w:p>
    <w:p>
      <w:pPr>
        <w:numPr>
          <w:ilvl w:val="0"/>
          <w:numId w:val="1005"/>
        </w:numPr>
        <w:pStyle w:val="Compact"/>
      </w:pPr>
      <w:r>
        <w:rPr>
          <w:bCs/>
          <w:b/>
        </w:rPr>
        <w:t xml:space="preserve">Regional Expansion:</w:t>
      </w:r>
      <w:r>
        <w:t xml:space="preserve"> </w:t>
      </w:r>
      <w:r>
        <w:t xml:space="preserve">Targeting Mosul and Basra markets through Baghdad-based academic researchers with regional expertise (planned launch: November 2023)</w:t>
      </w:r>
    </w:p>
    <w:p>
      <w:pPr>
        <w:numPr>
          <w:ilvl w:val="0"/>
          <w:numId w:val="1005"/>
        </w:numPr>
        <w:pStyle w:val="Compact"/>
      </w:pPr>
      <w:r>
        <w:rPr>
          <w:bCs/>
          <w:b/>
        </w:rPr>
        <w:t xml:space="preserve">Sector Specialization:</w:t>
      </w:r>
      <w:r>
        <w:t xml:space="preserve"> </w:t>
      </w:r>
      <w:r>
        <w:t xml:space="preserve">Developing dedicated research service packages for Baghdad's growing tech startup ecosystem, including AI adoption studies</w:t>
      </w:r>
    </w:p>
    <w:p>
      <w:pPr>
        <w:numPr>
          <w:ilvl w:val="0"/>
          <w:numId w:val="1005"/>
        </w:numPr>
        <w:pStyle w:val="Compact"/>
      </w:pPr>
      <w:r>
        <w:rPr>
          <w:bCs/>
          <w:b/>
        </w:rPr>
        <w:t xml:space="preserve">Government Contract Acceleration:</w:t>
      </w:r>
      <w:r>
        <w:t xml:space="preserve"> </w:t>
      </w:r>
      <w:r>
        <w:t xml:space="preserve">Aligning researcher sales cycles with Baghdad's fiscal year budget planning to secure 2024 contracts earlier</w:t>
      </w:r>
    </w:p>
    <w:bookmarkEnd w:id="28"/>
    <w:bookmarkStart w:id="30" w:name="X7004ba1ee2722867a51871a9ffeee669555bf15"/>
    <w:p>
      <w:pPr>
        <w:pStyle w:val="Heading2"/>
      </w:pPr>
      <w:r>
        <w:t xml:space="preserve">Conclusion: Academic Researcher as Strategic Sales Asset</w:t>
      </w:r>
    </w:p>
    <w:p>
      <w:pPr>
        <w:pStyle w:val="FirstParagraph"/>
      </w:pPr>
      <w:r>
        <w:t xml:space="preserve">This report conclusively demonstrates that academic researchers in Baghdad are no longer merely service deliverers but critical revenue generators. The transformation of the "academic researcher" role to include sales accountability has created sustainable growth pathways for research institutions while addressing Iraq's urgent evidence-based decision-making needs. Our Q3 results prove that when equipped with proper commercial training, Baghdad-based researchers can consistently exceed sales targets in Iraq's unique market environment. We project 45% revenue growth by Q1 2024 through continued investment in academic researcher sales capabilities within the Iraqi context.</w:t>
      </w:r>
    </w:p>
    <w:p>
      <w:pPr>
        <w:pStyle w:val="BodyText"/>
      </w:pPr>
      <w:r>
        <w:rPr>
          <w:bCs/>
          <w:b/>
        </w:rPr>
        <w:t xml:space="preserve">Prepared By:</w:t>
      </w:r>
      <w:r>
        <w:t xml:space="preserve"> </w:t>
      </w:r>
      <w:r>
        <w:t xml:space="preserve">Dr. Omar Al-Saadi, Head of Research Services Sales, Baghdad Regional Office</w:t>
      </w:r>
      <w:r>
        <w:br/>
      </w:r>
      <w:r>
        <w:rPr>
          <w:bCs/>
          <w:b/>
        </w:rPr>
        <w:t xml:space="preserve">Date:</w:t>
      </w:r>
      <w:r>
        <w:t xml:space="preserve"> </w:t>
      </w:r>
      <w:r>
        <w:t xml:space="preserve">October 15, 2023</w:t>
      </w:r>
      <w:r>
        <w:br/>
      </w:r>
      <w:r>
        <w:rPr>
          <w:bCs/>
          <w:b/>
        </w:rPr>
        <w:t xml:space="preserve">Distribution:</w:t>
      </w:r>
      <w:r>
        <w:t xml:space="preserve"> </w:t>
      </w:r>
      <w:r>
        <w:t xml:space="preserve">Ministry of Higher Education (Iraq), University Leadership Councils (Baghdad), National Research Fund</w:t>
      </w:r>
    </w:p>
    <w:bookmarkStart w:id="29" w:name="Xf616361660b636c010e6d983bf05d22bfe1a048"/>
    <w:p>
      <w:pPr>
        <w:pStyle w:val="Heading3"/>
      </w:pPr>
      <w:r>
        <w:t xml:space="preserve">Appendix: Academic Researcher Sales Metrics in Baghdad 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Key Metric</w:t>
            </w:r>
          </w:p>
        </w:tc>
        <w:tc>
          <w:tcPr/>
          <w:p>
            <w:pPr>
              <w:pStyle w:val="Compact"/>
              <w:jc w:val="left"/>
            </w:pPr>
            <w:r>
              <w:t xml:space="preserve">Q3 2023 Value</w:t>
            </w:r>
          </w:p>
        </w:tc>
        <w:tc>
          <w:tcPr/>
          <w:p>
            <w:pPr>
              <w:pStyle w:val="Compact"/>
              <w:jc w:val="left"/>
            </w:pPr>
            <w:r>
              <w:t xml:space="preserve">Baseline (Q1 2022)</w:t>
            </w:r>
          </w:p>
        </w:tc>
      </w:tr>
      <w:tr>
        <w:tc>
          <w:tcPr/>
          <w:p>
            <w:pPr>
              <w:pStyle w:val="Compact"/>
              <w:jc w:val="left"/>
            </w:pPr>
            <w:r>
              <w:t xml:space="preserve">Avg. Contract Size (Baghdad)</w:t>
            </w:r>
          </w:p>
        </w:tc>
        <w:tc>
          <w:tcPr/>
          <w:p>
            <w:pPr>
              <w:pStyle w:val="Compact"/>
              <w:jc w:val="left"/>
            </w:pPr>
            <w:r>
              <w:t xml:space="preserve">$76,500</w:t>
            </w:r>
          </w:p>
        </w:tc>
        <w:tc>
          <w:tcPr/>
          <w:p>
            <w:pPr>
              <w:pStyle w:val="Compact"/>
              <w:jc w:val="left"/>
            </w:pPr>
            <w:r>
              <w:t xml:space="preserve">$59,300</w:t>
            </w:r>
          </w:p>
        </w:tc>
      </w:tr>
      <w:tr>
        <w:tc>
          <w:tcPr/>
          <w:p>
            <w:pPr>
              <w:pStyle w:val="Compact"/>
              <w:jc w:val="left"/>
            </w:pPr>
            <w:r>
              <w:t xml:space="preserve">Researcher-to-Client Conversion Rate</w:t>
            </w:r>
          </w:p>
        </w:tc>
        <w:tc>
          <w:tcPr/>
          <w:p>
            <w:pPr>
              <w:pStyle w:val="Compact"/>
              <w:jc w:val="left"/>
            </w:pPr>
            <w:r>
              <w:t xml:space="preserve">1:4.7 (from contact to signed contract)</w:t>
            </w:r>
          </w:p>
        </w:tc>
        <w:tc>
          <w:tcPr/>
          <w:p>
            <w:pPr>
              <w:pStyle w:val="Compact"/>
              <w:jc w:val="left"/>
            </w:pPr>
            <w:r>
              <w:t xml:space="preserve">1:6.2</w:t>
            </w:r>
          </w:p>
        </w:tc>
      </w:tr>
      <w:tr>
        <w:tc>
          <w:tcPr/>
          <w:p>
            <w:pPr>
              <w:pStyle w:val="Compact"/>
              <w:jc w:val="left"/>
            </w:pPr>
            <w:r>
              <w:t xml:space="preserve">Average Sales Cycle (Days)</w:t>
            </w:r>
          </w:p>
        </w:tc>
        <w:tc>
          <w:tcPr/>
          <w:p>
            <w:pPr>
              <w:pStyle w:val="Compact"/>
              <w:jc w:val="left"/>
            </w:pPr>
            <w:r>
              <w:rPr>
                <w:bCs/>
                <w:b/>
              </w:rPr>
              <w:t xml:space="preserve">58</w:t>
            </w:r>
          </w:p>
        </w:tc>
        <w:tc>
          <w:tcPr/>
          <w:p>
            <w:pPr>
              <w:pStyle w:val="Compact"/>
              <w:jc w:val="left"/>
            </w:pPr>
            <w:r>
              <w:rPr>
                <w:bCs/>
                <w:b/>
              </w:rPr>
              <w:t xml:space="preserve">74</w:t>
            </w:r>
          </w:p>
        </w:tc>
      </w:tr>
    </w:tbl>
    <w:p>
      <w:pPr>
        <w:pStyle w:val="BodyText"/>
      </w:pPr>
      <w:r>
        <w:rPr>
          <w:iCs/>
          <w:i/>
        </w:rPr>
        <w:t xml:space="preserve">Note: All data reflects academic researcher-led sales in Baghdad Province, Iraq. Excludes external consulting firms. Includes contracts signed between July 1 - September 30, 2023.</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Academic Researcher Services in Baghdad, Iraq</dc:title>
  <dc:creator/>
  <dc:language>en</dc:language>
  <cp:keywords/>
  <dcterms:created xsi:type="dcterms:W3CDTF">2026-07-23T14:14:32Z</dcterms:created>
  <dcterms:modified xsi:type="dcterms:W3CDTF">2026-07-23T14:14:32Z</dcterms:modified>
</cp:coreProperties>
</file>

<file path=docProps/custom.xml><?xml version="1.0" encoding="utf-8"?>
<Properties xmlns="http://schemas.openxmlformats.org/officeDocument/2006/custom-properties" xmlns:vt="http://schemas.openxmlformats.org/officeDocument/2006/docPropsVTypes"/>
</file>