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8c8d3780bcbcbe86385c81aa4dff4761cd89c75"/>
    <w:p>
      <w:pPr>
        <w:pStyle w:val="Heading1"/>
      </w:pPr>
      <w:r>
        <w:t xml:space="preserve">Sales Report: Academic Researcher Performance Analysis -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Department</w:t>
      </w:r>
      <w:r>
        <w:br/>
      </w:r>
      <w:r>
        <w:rPr>
          <w:bCs/>
          <w:b/>
        </w:rPr>
        <w:t xml:space="preserve">Prepared By:</w:t>
      </w:r>
      <w:r>
        <w:t xml:space="preserve"> </w:t>
      </w:r>
      <w:r>
        <w:t xml:space="preserve">Strategic Insights Division</w:t>
      </w:r>
    </w:p>
    <w:bookmarkStart w:id="20" w:name="i.-executive-summary"/>
    <w:p>
      <w:pPr>
        <w:pStyle w:val="Heading2"/>
      </w:pPr>
      <w:r>
        <w:t xml:space="preserve">I. Executive Summary</w:t>
      </w:r>
    </w:p>
    <w:p>
      <w:pPr>
        <w:pStyle w:val="FirstParagraph"/>
      </w:pPr>
      <w:r>
        <w:t xml:space="preserve">This comprehensive Sales Report details the performance metrics and strategic contributions of our Academic Researcher team within the Israel Tel Aviv market during Q3 2023. The report demonstrates how specialized academic expertise directly amplified sales outcomes, driving a 34% year-over-year growth in enterprise contracts across high-tech sectors. Our Academic Researcher initiative—embedded within the Tel Aviv innovation ecosystem—has proven to be a critical differentiator in closing deals with leading research institutions, biotech firms, and government R&amp;D bodies. This document underscores the symbiotic relationship between academic rigor and commercial success in Israel's premier tech hub.</w:t>
      </w:r>
    </w:p>
    <w:bookmarkEnd w:id="20"/>
    <w:bookmarkStart w:id="21" w:name="X6d804f0b8dbaf1fbf4d59329d025235eb7a64bd"/>
    <w:p>
      <w:pPr>
        <w:pStyle w:val="Heading2"/>
      </w:pPr>
      <w:r>
        <w:t xml:space="preserve">II. Market Context: Israel Tel Aviv as a Sales Engine</w:t>
      </w:r>
    </w:p>
    <w:p>
      <w:pPr>
        <w:pStyle w:val="FirstParagraph"/>
      </w:pPr>
      <w:r>
        <w:t xml:space="preserve">Israel Tel Aviv stands as the undisputed epicenter of startup innovation in the Middle East, housing over 35% of Israel's high-tech enterprises and attracting 70% of global venture capital investments in the region. The city's unique ecosystem—where academic institutions like Tel Aviv University, Weizmann Institute, and Bar-Ilan collaborate with Fortune 500 subsidiaries—creates unprecedented opportunities for value-driven sales propositions. Our Sales Report identifies Tel Aviv as a market where technical credibility is non-negotiable; 89% of enterprise procurement committees require demonstrable research validation before finalizing contracts.</w:t>
      </w:r>
    </w:p>
    <w:bookmarkEnd w:id="21"/>
    <w:bookmarkStart w:id="22" w:name="Xbba3d2ff9935984a77cb3b23b538b8a3c7a9c8d"/>
    <w:p>
      <w:pPr>
        <w:pStyle w:val="Heading2"/>
      </w:pPr>
      <w:r>
        <w:t xml:space="preserve">III. Academic Researcher: The Strategic Sales Catalyst</w:t>
      </w:r>
    </w:p>
    <w:p>
      <w:pPr>
        <w:pStyle w:val="FirstParagraph"/>
      </w:pPr>
      <w:r>
        <w:t xml:space="preserve">The integration of Academic Researchers into our sales function has redefined our approach in Israel Tel Aviv. Unlike traditional sales roles, these researchers leverage PhD-level expertise in AI, quantum computing, and biomedical engineering to:</w:t>
      </w:r>
    </w:p>
    <w:p>
      <w:pPr>
        <w:numPr>
          <w:ilvl w:val="0"/>
          <w:numId w:val="1001"/>
        </w:numPr>
        <w:pStyle w:val="Compact"/>
      </w:pPr>
      <w:r>
        <w:t xml:space="preserve">Decipher complex technical requirements during client discovery</w:t>
      </w:r>
    </w:p>
    <w:p>
      <w:pPr>
        <w:numPr>
          <w:ilvl w:val="0"/>
          <w:numId w:val="1001"/>
        </w:numPr>
        <w:pStyle w:val="Compact"/>
      </w:pPr>
      <w:r>
        <w:t xml:space="preserve">Co-author white papers that address specific pain points of Tel Aviv-based firms (e.g., "Real-Time Fraud Detection for Israeli Banking Consortiums")</w:t>
      </w:r>
    </w:p>
    <w:p>
      <w:pPr>
        <w:numPr>
          <w:ilvl w:val="0"/>
          <w:numId w:val="1001"/>
        </w:numPr>
        <w:pStyle w:val="Compact"/>
      </w:pPr>
      <w:r>
        <w:t xml:space="preserve">Conduct on-site R&amp;D validation workshops at key accounts like Waze, Mobileye, and Check Point Software</w:t>
      </w:r>
    </w:p>
    <w:p>
      <w:pPr>
        <w:pStyle w:val="FirstParagraph"/>
      </w:pPr>
      <w:r>
        <w:t xml:space="preserve">This model directly contributed to a 27% increase in sales cycle efficiency. For example, when pitching to an Israeli cybersecurity firm developing next-gen threat intelligence tools, our Academic Researcher provided peer-reviewed evidence validating our solution's superiority in adversarial ML scenarios—shortening negotiation from 12 weeks to 5. This wasn't merely a sales tactic; it was academic credibility deployed as a strategic asset in Israel Tel Aviv's high-stakes technology market.</w:t>
      </w:r>
    </w:p>
    <w:bookmarkEnd w:id="22"/>
    <w:bookmarkStart w:id="23" w:name="X62879c250488c961d374ea669799bbae2fdc0d6"/>
    <w:p>
      <w:pPr>
        <w:pStyle w:val="Heading2"/>
      </w:pPr>
      <w:r>
        <w:t xml:space="preserve">IV. Quantitative Sales Performance Metrics (Israel Tel Aviv)</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Closed Deals (Tel Aviv)</w:t>
      </w:r>
    </w:p>
    <w:p>
      <w:pPr>
        <w:pStyle w:val="BodyText"/>
      </w:pPr>
      <w:r>
        <w:t xml:space="preserve">$8.7M</w:t>
      </w:r>
    </w:p>
    <w:p>
      <w:pPr>
        <w:pStyle w:val="BodyText"/>
      </w:pPr>
      <w:r>
        <w:t xml:space="preserve">$5.4M</w:t>
      </w:r>
    </w:p>
    <w:p>
      <w:pPr>
        <w:pStyle w:val="BodyText"/>
      </w:pPr>
      <w:r>
        <w:t xml:space="preserve">+61%</w:t>
      </w:r>
    </w:p>
    <w:p>
      <w:pPr>
        <w:pStyle w:val="BodyText"/>
      </w:pPr>
      <w:r>
        <w:t xml:space="preserve">Average Deal Size</w:t>
      </w:r>
    </w:p>
    <w:p>
      <w:pPr>
        <w:pStyle w:val="BodyText"/>
      </w:pPr>
      <w:r>
        <w:t xml:space="preserve">$217K</w:t>
      </w:r>
    </w:p>
    <w:p>
      <w:pPr>
        <w:pStyle w:val="BodyText"/>
      </w:pPr>
      <w:r>
        <w:t xml:space="preserve">&lt;</w:t>
      </w:r>
    </w:p>
    <w:p>
      <w:pPr>
        <w:pStyle w:val="BodyText"/>
      </w:pPr>
      <w:r>
        <w:t xml:space="preserve">$183K</w:t>
      </w:r>
    </w:p>
    <w:p>
      <w:pPr>
        <w:pStyle w:val="BodyText"/>
      </w:pPr>
      <w:r>
        <w:t xml:space="preserve">Research-Driven Deals (% of Total)</w:t>
      </w:r>
    </w:p>
    <w:p>
      <w:pPr>
        <w:pStyle w:val="BodyText"/>
      </w:pPr>
      <w:r>
        <w:t xml:space="preserve">73%</w:t>
      </w:r>
    </w:p>
    <w:p>
      <w:pPr>
        <w:pStyle w:val="BodyText"/>
      </w:pPr>
      <w:r>
        <w:t xml:space="preserve">42%</w:t>
      </w:r>
    </w:p>
    <w:p>
      <w:pPr>
        <w:pStyle w:val="BodyText"/>
      </w:pPr>
      <w:r>
        <w:t xml:space="preserve">Cross-Sell Rate to Academic Clients</w:t>
      </w:r>
    </w:p>
    <w:p>
      <w:pPr>
        <w:pStyle w:val="BodyText"/>
      </w:pPr>
      <w:r>
        <w:t xml:space="preserve">68%</w:t>
      </w:r>
    </w:p>
    <w:p>
      <w:pPr>
        <w:pStyle w:val="BodyText"/>
      </w:pPr>
      <w:r>
        <w:t xml:space="preserve">41%</w:t>
      </w:r>
    </w:p>
    <w:p>
      <w:pPr>
        <w:pStyle w:val="BodyText"/>
      </w:pPr>
      <w:r>
        <w:t xml:space="preserve">The data confirms our hypothesis: where Academic Researchers were deployed, deal size increased by 30% and customer retention rose to 92% (vs. industry average of 75%). Notably, all deals exceeding $500K in Israel Tel Aviv involved direct academic researcher participation.</w:t>
      </w:r>
    </w:p>
    <w:bookmarkEnd w:id="23"/>
    <w:bookmarkStart w:id="24" w:name="Xcd9812c8e52f905fc608b976e36bf41b307af45"/>
    <w:p>
      <w:pPr>
        <w:pStyle w:val="Heading2"/>
      </w:pPr>
      <w:r>
        <w:t xml:space="preserve">V. Case Study: The Weizmann Institute Partnership</w:t>
      </w:r>
    </w:p>
    <w:p>
      <w:pPr>
        <w:pStyle w:val="FirstParagraph"/>
      </w:pPr>
      <w:r>
        <w:t xml:space="preserve">In Q3, our Academic Researcher team secured a landmark $3.2M contract with the Weizmann Institute of Science in Tel Aviv to develop an AI-driven materials discovery platform. This deal exemplifies our model:</w:t>
      </w:r>
    </w:p>
    <w:p>
      <w:pPr>
        <w:numPr>
          <w:ilvl w:val="0"/>
          <w:numId w:val="1002"/>
        </w:numPr>
        <w:pStyle w:val="Compact"/>
      </w:pPr>
      <w:r>
        <w:rPr>
          <w:bCs/>
          <w:b/>
        </w:rPr>
        <w:t xml:space="preserve">Research-First Engagement:</w:t>
      </w:r>
      <w:r>
        <w:t xml:space="preserve"> </w:t>
      </w:r>
      <w:r>
        <w:t xml:space="preserve">Our Academic Researcher (Dr. Lena Cohen, PhD Materials Science, Technion) identified a critical gap in Weizmann's nanomaterials R&amp;D process through prior publications.</w:t>
      </w:r>
    </w:p>
    <w:p>
      <w:pPr>
        <w:numPr>
          <w:ilvl w:val="0"/>
          <w:numId w:val="1002"/>
        </w:numPr>
        <w:pStyle w:val="Compact"/>
      </w:pPr>
      <w:r>
        <w:rPr>
          <w:bCs/>
          <w:b/>
        </w:rPr>
        <w:t xml:space="preserve">Technical Validation:</w:t>
      </w:r>
      <w:r>
        <w:t xml:space="preserve"> </w:t>
      </w:r>
      <w:r>
        <w:t xml:space="preserve">She presented a prototype demonstrating 40% faster simulation accuracy—validated by peer-reviewed data from Tel Aviv University collaborations.</w:t>
      </w:r>
    </w:p>
    <w:p>
      <w:pPr>
        <w:numPr>
          <w:ilvl w:val="0"/>
          <w:numId w:val="1002"/>
        </w:numPr>
        <w:pStyle w:val="Compact"/>
      </w:pPr>
      <w:r>
        <w:rPr>
          <w:bCs/>
          <w:b/>
        </w:rPr>
        <w:t xml:space="preserve">Sales Integration:</w:t>
      </w:r>
      <w:r>
        <w:t xml:space="preserve"> </w:t>
      </w:r>
      <w:r>
        <w:t xml:space="preserve">The academic proof point enabled our sales team to bypass technical objections, closing the deal in 11 weeks (vs. typical 20-week cycle).</w:t>
      </w:r>
    </w:p>
    <w:p>
      <w:pPr>
        <w:pStyle w:val="FirstParagraph"/>
      </w:pPr>
      <w:r>
        <w:t xml:space="preserve">This single deal generated $1.9M in annual recurring revenue and opened doors to three additional Weizmann-led consortiums—proving that academic credibility is the ultimate sales accelerator in Israel Tel Aviv.</w:t>
      </w:r>
    </w:p>
    <w:bookmarkEnd w:id="24"/>
    <w:bookmarkStart w:id="25" w:name="vi.-challenges-strategic-adaptations"/>
    <w:p>
      <w:pPr>
        <w:pStyle w:val="Heading2"/>
      </w:pPr>
      <w:r>
        <w:t xml:space="preserve">VI. Challenges &amp; Strategic Adaptations</w:t>
      </w:r>
    </w:p>
    <w:p>
      <w:pPr>
        <w:pStyle w:val="FirstParagraph"/>
      </w:pPr>
      <w:r>
        <w:t xml:space="preserve">Operating within Israel Tel Aviv presented unique challenges requiring Academic Researcher intervention:</w:t>
      </w:r>
    </w:p>
    <w:p>
      <w:pPr>
        <w:numPr>
          <w:ilvl w:val="0"/>
          <w:numId w:val="1003"/>
        </w:numPr>
        <w:pStyle w:val="Compact"/>
      </w:pPr>
      <w:r>
        <w:rPr>
          <w:iCs/>
          <w:i/>
        </w:rPr>
        <w:t xml:space="preserve">Challenge:</w:t>
      </w:r>
      <w:r>
        <w:t xml:space="preserve"> </w:t>
      </w:r>
      <w:r>
        <w:t xml:space="preserve">Israeli enterprises demand immediate technical validation due to competitive urgency.</w:t>
      </w:r>
      <w:r>
        <w:br/>
      </w:r>
      <w:r>
        <w:rPr>
          <w:iCs/>
          <w:i/>
        </w:rPr>
        <w:t xml:space="preserve">Solution:</w:t>
      </w:r>
      <w:r>
        <w:t xml:space="preserve"> </w:t>
      </w:r>
      <w:r>
        <w:t xml:space="preserve">Our Academic Researchers established a "Rapid Validation Lab" at our Tel Aviv office, reducing proof-of-concept time by 65%.</w:t>
      </w:r>
    </w:p>
    <w:p>
      <w:pPr>
        <w:numPr>
          <w:ilvl w:val="0"/>
          <w:numId w:val="1003"/>
        </w:numPr>
        <w:pStyle w:val="Compact"/>
      </w:pPr>
      <w:r>
        <w:rPr>
          <w:iCs/>
          <w:i/>
        </w:rPr>
        <w:t xml:space="preserve">Challenge:</w:t>
      </w:r>
      <w:r>
        <w:t xml:space="preserve"> </w:t>
      </w:r>
      <w:r>
        <w:t xml:space="preserve">Government procurement (e.g., Ministry of Defense) requires academic endorsements.</w:t>
      </w:r>
      <w:r>
        <w:br/>
      </w:r>
      <w:r>
        <w:rPr>
          <w:iCs/>
          <w:i/>
        </w:rPr>
        <w:t xml:space="preserve">Solution:</w:t>
      </w:r>
      <w:r>
        <w:t xml:space="preserve"> </w:t>
      </w:r>
      <w:r>
        <w:t xml:space="preserve">We embedded researchers in joint proposals with Hebrew University, resulting in 100% success rate for government tenders.</w:t>
      </w:r>
    </w:p>
    <w:bookmarkEnd w:id="25"/>
    <w:bookmarkStart w:id="26" w:name="Xefd6909009db2a60ebc2fa3e6c2b34616e829f6"/>
    <w:p>
      <w:pPr>
        <w:pStyle w:val="Heading2"/>
      </w:pPr>
      <w:r>
        <w:t xml:space="preserve">VII. Future Outlook: Scaling the Academic Researcher Model</w:t>
      </w:r>
    </w:p>
    <w:p>
      <w:pPr>
        <w:pStyle w:val="FirstParagraph"/>
      </w:pPr>
      <w:r>
        <w:t xml:space="preserve">Based on Israel Tel Aviv's exceptional performance, we propose expanding this model to all innovation hubs by Q1 2024. Specific initiatives include:</w:t>
      </w:r>
    </w:p>
    <w:p>
      <w:pPr>
        <w:numPr>
          <w:ilvl w:val="0"/>
          <w:numId w:val="1004"/>
        </w:numPr>
        <w:pStyle w:val="Compact"/>
      </w:pPr>
      <w:r>
        <w:t xml:space="preserve">Establishing a dedicated Academic Researcher Corps in Tel Aviv with 5+ researchers (specializing in AI, biotech, and quantum) funded through sales revenue</w:t>
      </w:r>
    </w:p>
    <w:p>
      <w:pPr>
        <w:numPr>
          <w:ilvl w:val="0"/>
          <w:numId w:val="1004"/>
        </w:numPr>
        <w:pStyle w:val="Compact"/>
      </w:pPr>
      <w:r>
        <w:t xml:space="preserve">Creating the "Tel Aviv Innovation Index"—a quarterly report co-authored by our researchers tracking market gaps where our solutions provide academic validation</w:t>
      </w:r>
    </w:p>
    <w:p>
      <w:pPr>
        <w:numPr>
          <w:ilvl w:val="0"/>
          <w:numId w:val="1004"/>
        </w:numPr>
        <w:pStyle w:val="Compact"/>
      </w:pPr>
      <w:r>
        <w:t xml:space="preserve">Developing a certification program for Academic Researchers to become accredited solution architects for high-stakes Israeli deals</w:t>
      </w:r>
    </w:p>
    <w:p>
      <w:pPr>
        <w:pStyle w:val="FirstParagraph"/>
      </w:pPr>
      <w:r>
        <w:t xml:space="preserve">The data is unequivocal: in Israel Tel Aviv, where innovation velocity dictates market position, the Academic Researcher isn't just part of the sales team—they are the competitive advantage. Our Sales Report confirms that this model generates 5.3x higher lifetime value per client than conventional sales approaches.</w:t>
      </w:r>
    </w:p>
    <w:bookmarkEnd w:id="26"/>
    <w:bookmarkStart w:id="27" w:name="viii.-conclusion"/>
    <w:p>
      <w:pPr>
        <w:pStyle w:val="Heading2"/>
      </w:pPr>
      <w:r>
        <w:t xml:space="preserve">VIII. Conclusion</w:t>
      </w:r>
    </w:p>
    <w:p>
      <w:pPr>
        <w:pStyle w:val="FirstParagraph"/>
      </w:pPr>
      <w:r>
        <w:t xml:space="preserve">This Sales Report affirms that embedding Academic Researchers within our commercial strategy has fundamentally transformed how we operate in Israel Tel Aviv—a market where technical excellence is the currency of success. The 34% YoY growth, 73% research-driven deal conversion rate, and $8.7M closed revenue prove that academic rigor directly fuels commercial outcomes in one of the world's most demanding tech ecosystems. As we scale this model globally, Israel Tel Aviv remains our flagship proving ground: a testament to how the Academic Researcher role transcends traditional boundaries to become the engine of sustainable sales growth.</w:t>
      </w:r>
    </w:p>
    <w:p>
      <w:pPr>
        <w:pStyle w:val="BodyText"/>
      </w:pPr>
      <w:r>
        <w:rPr>
          <w:bCs/>
          <w:b/>
        </w:rPr>
        <w:t xml:space="preserve">Appendix:</w:t>
      </w:r>
      <w:r>
        <w:t xml:space="preserve"> </w:t>
      </w:r>
      <w:r>
        <w:t xml:space="preserve">Full methodology, client anonymized case studies, and academic validation templates available upon request. All metrics sourced from Salesforce CRM (Q3 2023) and Tel Aviv University Industry Partnership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Israel Tel Aviv</dc:title>
  <dc:creator/>
  <dc:language>en</dc:language>
  <cp:keywords/>
  <dcterms:created xsi:type="dcterms:W3CDTF">2025-12-13T01:28:52Z</dcterms:created>
  <dcterms:modified xsi:type="dcterms:W3CDTF">2025-12-13T01:28:52Z</dcterms:modified>
</cp:coreProperties>
</file>

<file path=docProps/custom.xml><?xml version="1.0" encoding="utf-8"?>
<Properties xmlns="http://schemas.openxmlformats.org/officeDocument/2006/custom-properties" xmlns:vt="http://schemas.openxmlformats.org/officeDocument/2006/docPropsVTypes"/>
</file>