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Academic</w:t>
      </w:r>
      <w:r>
        <w:t xml:space="preserve"> </w:t>
      </w:r>
      <w:r>
        <w:t xml:space="preserve">Researcher</w:t>
      </w:r>
      <w:r>
        <w:t xml:space="preserve"> </w:t>
      </w:r>
      <w:r>
        <w:t xml:space="preserve">Performance</w:t>
      </w:r>
      <w:r>
        <w:t xml:space="preserve"> </w:t>
      </w:r>
      <w:r>
        <w:t xml:space="preserve">in</w:t>
      </w:r>
      <w:r>
        <w:t xml:space="preserve"> </w:t>
      </w:r>
      <w:r>
        <w:t xml:space="preserve">Italy</w:t>
      </w:r>
      <w:r>
        <w:t xml:space="preserve"> </w:t>
      </w:r>
      <w:r>
        <w:t xml:space="preserve">Naples</w:t>
      </w:r>
    </w:p>
    <w:bookmarkStart w:id="26" w:name="Xc7703dda8c8db943eab5870e71bcaa6ba72c456"/>
    <w:p>
      <w:pPr>
        <w:pStyle w:val="Heading1"/>
      </w:pPr>
      <w:r>
        <w:t xml:space="preserve">Sales Report: Academic Researcher Performance in Italy Naples – Q3 2023</w:t>
      </w:r>
    </w:p>
    <w:p>
      <w:pPr>
        <w:pStyle w:val="FirstParagraph"/>
      </w:pPr>
      <w:r>
        <w:rPr>
          <w:bCs/>
          <w:b/>
        </w:rPr>
        <w:t xml:space="preserve">Prepared For:</w:t>
      </w:r>
      <w:r>
        <w:t xml:space="preserve"> </w:t>
      </w:r>
      <w:r>
        <w:t xml:space="preserve">University of Naples Federico II Research Directorate &amp; Local Industry Partnerships Office</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performance of Academic Researcher Dr. Elena Moretti (Department of Environmental Science) within the Naples academic ecosystem. Operating in Italy Naples, this report quantifies research output as a "product," funding acquisition as "revenue," and institutional partnerships as "client engagement." In Q3 2023, Dr. Moretti achieved a 17% year-over-year increase in grant value (€428k), secured three new industry collaborations, and published four high-impact papers – demonstrating exceptional performance in the Naples research market. The report underscores how academic excellence directly drives economic and intellectual growth in Italy's third-largest city.</w:t>
      </w:r>
    </w:p>
    <w:bookmarkEnd w:id="20"/>
    <w:bookmarkStart w:id="21" w:name="X41d899f94f355ae152c6e59b4d998359de0c4bf"/>
    <w:p>
      <w:pPr>
        <w:pStyle w:val="Heading2"/>
      </w:pPr>
      <w:r>
        <w:t xml:space="preserve">Market Context: Academic Research as a Sales Opportunity in Naples</w:t>
      </w:r>
    </w:p>
    <w:p>
      <w:pPr>
        <w:pStyle w:val="FirstParagraph"/>
      </w:pPr>
      <w:r>
        <w:t xml:space="preserve">Italy Naples presents a unique sales landscape for Academic Researchers. As a hub of Mediterranean studies, marine science, and cultural heritage preservation, the city attracts EU Horizon Europe funding and industry partnerships seeking localized expertise. The University of Naples Federico II (founded 1224) remains Italy's top research institution outside Rome Milan, generating €380M annually in public/private research revenue – creating fertile ground for Academic Researcher "sales" initiatives. This report confirms that Naples-based researchers who align projects with local needs (e.g., Vesuvius volcano monitoring, port sustainability) achieve 3x higher funding conversion rates than generic proposals.</w:t>
      </w:r>
    </w:p>
    <w:bookmarkEnd w:id="21"/>
    <w:bookmarkStart w:id="22" w:name="X3d3936f3fc8c9d629cfa32e57c1ad86c45d8b7a"/>
    <w:p>
      <w:pPr>
        <w:pStyle w:val="Heading2"/>
      </w:pPr>
      <w:r>
        <w:t xml:space="preserve">Performance Metrics: Quantifying Academic 'Sales'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Performance Indicator</w:t>
            </w:r>
          </w:p>
        </w:tc>
        <w:tc>
          <w:tcPr/>
          <w:p>
            <w:pPr>
              <w:pStyle w:val="Compact"/>
              <w:jc w:val="left"/>
            </w:pPr>
            <w:r>
              <w:t xml:space="preserve">Q3 2023 Result</w:t>
            </w:r>
          </w:p>
        </w:tc>
        <w:tc>
          <w:tcPr/>
          <w:p>
            <w:pPr>
              <w:pStyle w:val="Compact"/>
              <w:jc w:val="left"/>
            </w:pPr>
            <w:r>
              <w:t xml:space="preserve">YoY Change</w:t>
            </w:r>
          </w:p>
        </w:tc>
        <w:tc>
          <w:tcPr/>
          <w:p>
            <w:pPr>
              <w:pStyle w:val="Compact"/>
              <w:jc w:val="left"/>
            </w:pPr>
            <w:r>
              <w:t xml:space="preserve">Italy Naples Target</w:t>
            </w:r>
          </w:p>
        </w:tc>
      </w:tr>
      <w:tr>
        <w:tc>
          <w:tcPr/>
          <w:p>
            <w:pPr>
              <w:pStyle w:val="Compact"/>
              <w:jc w:val="left"/>
            </w:pPr>
            <w:r>
              <w:t xml:space="preserve">Funding Acquired (Grants)</w:t>
            </w:r>
          </w:p>
        </w:tc>
        <w:tc>
          <w:tcPr/>
          <w:p>
            <w:pPr>
              <w:pStyle w:val="Compact"/>
              <w:jc w:val="left"/>
            </w:pPr>
            <w:r>
              <w:t xml:space="preserve">€428,000</w:t>
            </w:r>
          </w:p>
        </w:tc>
        <w:tc>
          <w:tcPr/>
          <w:p>
            <w:pPr>
              <w:pStyle w:val="Compact"/>
              <w:jc w:val="left"/>
            </w:pPr>
            <w:r>
              <w:t xml:space="preserve">+17%</w:t>
            </w:r>
          </w:p>
        </w:tc>
        <w:tc>
          <w:tcPr/>
          <w:p>
            <w:pPr>
              <w:pStyle w:val="Compact"/>
              <w:jc w:val="left"/>
            </w:pPr>
            <w:r>
              <w:t xml:space="preserve">€350,000</w:t>
            </w:r>
          </w:p>
        </w:tc>
      </w:tr>
      <w:tr>
        <w:tc>
          <w:tcPr/>
          <w:p>
            <w:pPr>
              <w:pStyle w:val="Compact"/>
              <w:jc w:val="left"/>
            </w:pPr>
            <w:r>
              <w:t xml:space="preserve">New Industry Partnerships Secured</w:t>
            </w:r>
          </w:p>
        </w:tc>
        <w:tc>
          <w:tcPr/>
          <w:p>
            <w:pPr>
              <w:pStyle w:val="Compact"/>
              <w:jc w:val="left"/>
            </w:pPr>
            <w:r>
              <w:t xml:space="preserve">3 (Naples-based)</w:t>
            </w:r>
          </w:p>
        </w:tc>
        <w:tc>
          <w:tcPr/>
          <w:p>
            <w:pPr>
              <w:pStyle w:val="Compact"/>
              <w:jc w:val="left"/>
            </w:pPr>
            <w:r>
              <w:t xml:space="preserve">+25%</w:t>
            </w:r>
          </w:p>
        </w:tc>
        <w:tc>
          <w:tcPr/>
          <w:p>
            <w:pPr>
              <w:pStyle w:val="Compact"/>
              <w:jc w:val="left"/>
            </w:pPr>
            <w:r>
              <w:t xml:space="preserve">Naples Strategic Goal: 2/year</w:t>
            </w:r>
          </w:p>
        </w:tc>
      </w:tr>
      <w:tr>
        <w:tc>
          <w:tcPr/>
          <w:p>
            <w:pPr>
              <w:pStyle w:val="Compact"/>
              <w:jc w:val="left"/>
            </w:pPr>
            <w:r>
              <w:t xml:space="preserve">High-Impact Publications</w:t>
            </w:r>
          </w:p>
        </w:tc>
        <w:tc>
          <w:tcPr/>
          <w:p>
            <w:pPr>
              <w:pStyle w:val="Compact"/>
              <w:jc w:val="left"/>
            </w:pPr>
            <w:r>
              <w:t xml:space="preserve">4 (Q1 journals)</w:t>
            </w:r>
          </w:p>
        </w:tc>
        <w:tc>
          <w:tcPr/>
          <w:p>
            <w:pPr>
              <w:pStyle w:val="Compact"/>
              <w:jc w:val="left"/>
            </w:pPr>
            <w:r>
              <w:t xml:space="preserve">+33%</w:t>
            </w:r>
          </w:p>
        </w:tc>
        <w:tc>
          <w:tcPr/>
          <w:p>
            <w:pPr>
              <w:pStyle w:val="Compact"/>
              <w:jc w:val="left"/>
            </w:pPr>
            <w:r>
              <w:t xml:space="preserve">University Benchmark: 2.5</w:t>
            </w:r>
          </w:p>
        </w:tc>
      </w:tr>
      <w:tr>
        <w:tc>
          <w:tcPr/>
          <w:p>
            <w:pPr>
              <w:pStyle w:val="Compact"/>
              <w:jc w:val="left"/>
            </w:pPr>
            <w:r>
              <w:t xml:space="preserve">Clinical Trial Partnerships (Health Focus)</w:t>
            </w:r>
          </w:p>
        </w:tc>
        <w:tc>
          <w:tcPr/>
          <w:p>
            <w:pPr>
              <w:pStyle w:val="Compact"/>
              <w:jc w:val="left"/>
            </w:pPr>
            <w:r>
              <w:t xml:space="preserve">1 (with Naples Hospital Network)</w:t>
            </w:r>
          </w:p>
        </w:tc>
        <w:tc>
          <w:tcPr/>
          <w:p>
            <w:pPr>
              <w:pStyle w:val="Compact"/>
              <w:jc w:val="left"/>
            </w:pPr>
            <w:r>
              <w:t xml:space="preserve">+100%</w:t>
            </w:r>
          </w:p>
        </w:tc>
        <w:tc>
          <w:tcPr/>
          <w:p>
            <w:pPr>
              <w:pStyle w:val="Compact"/>
              <w:jc w:val="left"/>
            </w:pPr>
            <w:r>
              <w:t xml:space="preserve">Naples Regional Health Strategy</w:t>
            </w:r>
          </w:p>
        </w:tc>
      </w:tr>
    </w:tbl>
    <w:p>
      <w:pPr>
        <w:pStyle w:val="BodyText"/>
      </w:pPr>
      <w:r>
        <w:rPr>
          <w:bCs/>
          <w:b/>
        </w:rPr>
        <w:t xml:space="preserve">Analysis:</w:t>
      </w:r>
      <w:r>
        <w:t xml:space="preserve"> </w:t>
      </w:r>
      <w:r>
        <w:t xml:space="preserve">Dr. Moretti’s success stems from hyper-localized "sales" strategy. Her project on "Coastal Erosion Mitigation for Naples Bay" directly addressed a priority in the Naples City Council’s 2023 Sustainable Urban Development Plan. This contextual alignment converted a 45% proposal rejection rate into 100% funding success – proving that Academic Researcher outreach must mirror Italy Naples’ municipal agendas. The three new partnerships (with Port Authority of Naples, Caffè Italia R&amp;D, and Campania Biotech) generated €215k in direct co-funding – a critical "sales" metric for university performance reviews.</w:t>
      </w:r>
    </w:p>
    <w:bookmarkEnd w:id="22"/>
    <w:bookmarkStart w:id="23" w:name="key-sales-activities-driving-results"/>
    <w:p>
      <w:pPr>
        <w:pStyle w:val="Heading2"/>
      </w:pPr>
      <w:r>
        <w:t xml:space="preserve">Key Sales Activities Driving Results</w:t>
      </w:r>
    </w:p>
    <w:p>
      <w:pPr>
        <w:pStyle w:val="FirstParagraph"/>
      </w:pPr>
      <w:r>
        <w:t xml:space="preserve">1.</w:t>
      </w:r>
      <w:r>
        <w:t xml:space="preserve"> </w:t>
      </w:r>
      <w:r>
        <w:rPr>
          <w:bCs/>
          <w:b/>
        </w:rPr>
        <w:t xml:space="preserve">Naples-Specific Market Intelligence:</w:t>
      </w:r>
      <w:r>
        <w:t xml:space="preserve"> </w:t>
      </w:r>
      <w:r>
        <w:t xml:space="preserve">Dr. Moretti conducted biweekly meetings with Naples Chamber of Commerce and Pompeii Archaeological Site management to identify pain points (e.g., sedimentation in Naples Harbor threatening tourism). This informed her Horizon Europe proposal titled "Sustainable Port Management for Mediterranean Cities," securing €305k.</w:t>
      </w:r>
    </w:p>
    <w:p>
      <w:pPr>
        <w:pStyle w:val="BodyText"/>
      </w:pPr>
      <w:r>
        <w:t xml:space="preserve">2.</w:t>
      </w:r>
      <w:r>
        <w:t xml:space="preserve"> </w:t>
      </w:r>
      <w:r>
        <w:rPr>
          <w:bCs/>
          <w:b/>
        </w:rPr>
        <w:t xml:space="preserve">Industry Relationship 'Closing':</w:t>
      </w:r>
      <w:r>
        <w:t xml:space="preserve"> </w:t>
      </w:r>
      <w:r>
        <w:t xml:space="preserve">Partnered with local SMEs through the Napoli Innovation Hub, positioning research as a solution to Naples’ 27% tourism-related waste management challenges. This yielded two pilot projects: one with a Naples-based waste-to-energy startup (EnerVesuvius) and another with fishing cooperatives on plastic-free nets.</w:t>
      </w:r>
    </w:p>
    <w:p>
      <w:pPr>
        <w:pStyle w:val="BodyText"/>
      </w:pPr>
      <w:r>
        <w:t xml:space="preserve">3.</w:t>
      </w:r>
      <w:r>
        <w:t xml:space="preserve"> </w:t>
      </w:r>
      <w:r>
        <w:rPr>
          <w:bCs/>
          <w:b/>
        </w:rPr>
        <w:t xml:space="preserve">Academic Content as 'Product':</w:t>
      </w:r>
      <w:r>
        <w:t xml:space="preserve"> </w:t>
      </w:r>
      <w:r>
        <w:t xml:space="preserve">Her publications in</w:t>
      </w:r>
      <w:r>
        <w:t xml:space="preserve"> </w:t>
      </w:r>
      <w:r>
        <w:rPr>
          <w:iCs/>
          <w:i/>
        </w:rPr>
        <w:t xml:space="preserve">Nature Sustainability</w:t>
      </w:r>
      <w:r>
        <w:t xml:space="preserve"> </w:t>
      </w:r>
      <w:r>
        <w:t xml:space="preserve">and</w:t>
      </w:r>
      <w:r>
        <w:t xml:space="preserve"> </w:t>
      </w:r>
      <w:r>
        <w:rPr>
          <w:iCs/>
          <w:i/>
        </w:rPr>
        <w:t xml:space="preserve">Mediterranean Marine Science</w:t>
      </w:r>
      <w:r>
        <w:t xml:space="preserve"> </w:t>
      </w:r>
      <w:r>
        <w:t xml:space="preserve">were directly cited by Naples’ municipal environmental agency in their 2024 climate action roadmap – demonstrating how Academic Researcher outputs become institutional assets.</w:t>
      </w:r>
    </w:p>
    <w:bookmarkEnd w:id="23"/>
    <w:bookmarkStart w:id="24" w:name="X2645ca83bb3423004c73480f06c10a3f01db7ad"/>
    <w:p>
      <w:pPr>
        <w:pStyle w:val="Heading2"/>
      </w:pPr>
      <w:r>
        <w:t xml:space="preserve">Challenges &amp; Strategic Opportunities for Italy Naples</w:t>
      </w:r>
    </w:p>
    <w:p>
      <w:pPr>
        <w:pStyle w:val="FirstParagraph"/>
      </w:pPr>
      <w:r>
        <w:t xml:space="preserve">Despite strong results, systemic barriers persist. Bureaucratic delays in Italian research funding (avg. 18 months from proposal to disbursement) hinder 'sales' velocity compared to EU peers. Additionally, Naples’ Academic Researcher community lacks dedicated sales training – most rely on informal networking rather than structured market strategy.</w:t>
      </w:r>
    </w:p>
    <w:p>
      <w:pPr>
        <w:pStyle w:val="BodyText"/>
      </w:pPr>
      <w:r>
        <w:rPr>
          <w:bCs/>
          <w:b/>
        </w:rPr>
        <w:t xml:space="preserve">Recommendations for Enhanced Sales Performance:</w:t>
      </w:r>
    </w:p>
    <w:p>
      <w:pPr>
        <w:numPr>
          <w:ilvl w:val="0"/>
          <w:numId w:val="1001"/>
        </w:numPr>
        <w:pStyle w:val="Compact"/>
      </w:pPr>
      <w:r>
        <w:t xml:space="preserve">Establish a "Naples Research Solutions Unit" to help Academic Researchers map projects to Naples City Council priorities (e.g., EU Green Deal compliance).</w:t>
      </w:r>
    </w:p>
    <w:p>
      <w:pPr>
        <w:numPr>
          <w:ilvl w:val="0"/>
          <w:numId w:val="1001"/>
        </w:numPr>
        <w:pStyle w:val="Compact"/>
      </w:pPr>
      <w:r>
        <w:t xml:space="preserve">Develop an annual "Industry-Academia Matchmaking Fair" in Naples, targeting local sectors like tourism, maritime logistics, and biotech – projected to increase partnership rates by 40%.</w:t>
      </w:r>
    </w:p>
    <w:p>
      <w:pPr>
        <w:numPr>
          <w:ilvl w:val="0"/>
          <w:numId w:val="1001"/>
        </w:numPr>
        <w:pStyle w:val="Compact"/>
      </w:pPr>
      <w:r>
        <w:t xml:space="preserve">Integrate sales metrics (funding conversion rate, industry co-funding) into Academic Researcher performance evaluations across all Italy Naples universities.</w:t>
      </w:r>
    </w:p>
    <w:bookmarkEnd w:id="24"/>
    <w:bookmarkStart w:id="25" w:name="X0c21b71f7cafa72e723ffee5ab8d3904b831865"/>
    <w:p>
      <w:pPr>
        <w:pStyle w:val="Heading2"/>
      </w:pPr>
      <w:r>
        <w:t xml:space="preserve">Conclusion: Academic Research as Naples' Growth Catalyst</w:t>
      </w:r>
    </w:p>
    <w:p>
      <w:pPr>
        <w:pStyle w:val="FirstParagraph"/>
      </w:pPr>
      <w:r>
        <w:t xml:space="preserve">This Sales Report confirms that the Academic Researcher role in Italy Naples functions as a critical economic driver. Dr. Moretti’s Q3 achievements – particularly the €428k in funded projects and three new Naples-based partnerships – directly support regional goals like reducing coastal erosion by 15% (Naples 2030 Plan) and boosting blue economy employment. In an era where universities must demonstrate tangible ROI, this model proves that Academic Researchers who master "market intelligence" for Italy Naples achieve exceptional results. Future success requires institutionalizing this sales-oriented approach: transforming research from a cost center into a revenue-generating engine for the city’s identity as Europe’s leading Mediterranean innovation hub.</w:t>
      </w:r>
    </w:p>
    <w:p>
      <w:pPr>
        <w:pStyle w:val="BodyText"/>
      </w:pPr>
      <w:r>
        <w:rPr>
          <w:bCs/>
          <w:b/>
        </w:rPr>
        <w:t xml:space="preserve">Forward Focus:</w:t>
      </w:r>
      <w:r>
        <w:t xml:space="preserve"> </w:t>
      </w:r>
      <w:r>
        <w:t xml:space="preserve">The next report will track how Dr. Moretti’s Vesuvius monitoring partnership (with Naples Civil Protection) drives tourism recovery post-2023 volcanic activity – a direct example of Academic Researcher sales creating value for Italy Naples’ economy and citizens.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Academic Researcher Performance in Italy Naples</dc:title>
  <dc:creator/>
  <dc:language>en</dc:language>
  <cp:keywords/>
  <dcterms:created xsi:type="dcterms:W3CDTF">2026-07-24T00:23:26Z</dcterms:created>
  <dcterms:modified xsi:type="dcterms:W3CDTF">2026-07-24T00:23:26Z</dcterms:modified>
</cp:coreProperties>
</file>

<file path=docProps/custom.xml><?xml version="1.0" encoding="utf-8"?>
<Properties xmlns="http://schemas.openxmlformats.org/officeDocument/2006/custom-properties" xmlns:vt="http://schemas.openxmlformats.org/officeDocument/2006/docPropsVTypes"/>
</file>