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Kyoto</w:t>
      </w:r>
      <w:r>
        <w:t xml:space="preserve"> </w:t>
      </w:r>
      <w:r>
        <w:t xml:space="preserve">Japan</w:t>
      </w:r>
    </w:p>
    <w:bookmarkStart w:id="31" w:name="X025774e7a3382a985f534d1ad051ba6dc5c7268"/>
    <w:p>
      <w:pPr>
        <w:pStyle w:val="Heading1"/>
      </w:pPr>
      <w:r>
        <w:t xml:space="preserve">Comprehensive Sales Report for Academic Researcher Solutions in Japan Kyoto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our strategic expansion and performance metrics targeting Academic Researchers across Japan Kyoto's premier academic ecosystem. In the past quarter, we achieved a 34% year-over-year growth in researcher-focused solutions within Kyoto, demonstrating exceptional penetration into Japan's most influential research hubs. This success directly results from our tailored approach addressing the unique requirements of Academic Researcher communities operating within Kyoto's culturally rich academic environment. With Kyoto serving as Japan's historical and modern research capital, this market represents a critical pillar for our global growth strategy.</w:t>
      </w:r>
    </w:p>
    <w:bookmarkEnd w:id="20"/>
    <w:bookmarkStart w:id="21" w:name="X866c0d50de92c0fa5ee83b7ab6e2755488adb05"/>
    <w:p>
      <w:pPr>
        <w:pStyle w:val="Heading2"/>
      </w:pPr>
      <w:r>
        <w:t xml:space="preserve">II. Market Context: Japan Kyoto Academic Landscape</w:t>
      </w:r>
    </w:p>
    <w:p>
      <w:pPr>
        <w:pStyle w:val="FirstParagraph"/>
      </w:pPr>
      <w:r>
        <w:t xml:space="preserve">Kyoto, home to the University of Kyoto (ranked #51 globally), Kyoto University of Foreign Studies, and over 150 research institutes, remains Japan's second most significant academic center after Tokyo. The city hosts 7% of all Japan's Nobel laureates in science and maintains a research intensity ratio exceeding the national average by 23%. Crucially, Academic Researcher workflows in Kyoto differ significantly from other Japanese regions due to:</w:t>
      </w:r>
    </w:p>
    <w:p>
      <w:pPr>
        <w:numPr>
          <w:ilvl w:val="0"/>
          <w:numId w:val="1001"/>
        </w:numPr>
        <w:pStyle w:val="Compact"/>
      </w:pPr>
      <w:r>
        <w:rPr>
          <w:bCs/>
          <w:b/>
        </w:rPr>
        <w:t xml:space="preserve">Cultural Collaboration Norms:</w:t>
      </w:r>
      <w:r>
        <w:t xml:space="preserve"> </w:t>
      </w:r>
      <w:r>
        <w:t xml:space="preserve">Preference for consensus-based decision making requiring relationship building beyond transactional interactions</w:t>
      </w:r>
    </w:p>
    <w:p>
      <w:pPr>
        <w:numPr>
          <w:ilvl w:val="0"/>
          <w:numId w:val="1001"/>
        </w:numPr>
        <w:pStyle w:val="Compact"/>
      </w:pPr>
      <w:r>
        <w:rPr>
          <w:bCs/>
          <w:b/>
        </w:rPr>
        <w:t xml:space="preserve">Government-Funded Research Focus:</w:t>
      </w:r>
      <w:r>
        <w:t xml:space="preserve"> </w:t>
      </w:r>
      <w:r>
        <w:t xml:space="preserve">68% of Kyoto's academic research receives Japan Science and Technology Agency (JST) funding, demanding compliance with specific reporting standards</w:t>
      </w:r>
    </w:p>
    <w:p>
      <w:pPr>
        <w:numPr>
          <w:ilvl w:val="0"/>
          <w:numId w:val="1001"/>
        </w:numPr>
        <w:pStyle w:val="Compact"/>
      </w:pPr>
      <w:r>
        <w:rPr>
          <w:bCs/>
          <w:b/>
        </w:rPr>
        <w:t xml:space="preserve">Language Nuance:</w:t>
      </w:r>
      <w:r>
        <w:t xml:space="preserve"> </w:t>
      </w:r>
      <w:r>
        <w:t xml:space="preserve">Technical terminology requires precise Japanese translation for researcher adoption</w:t>
      </w:r>
    </w:p>
    <w:bookmarkEnd w:id="21"/>
    <w:bookmarkStart w:id="24" w:name="X2990a2684ab78af41896041c48f7e3e1f57f474"/>
    <w:p>
      <w:pPr>
        <w:pStyle w:val="Heading2"/>
      </w:pPr>
      <w:r>
        <w:t xml:space="preserve">III. Sales Performance Highlights: Kyoto Academic Researcher Segment</w:t>
      </w:r>
    </w:p>
    <w:bookmarkStart w:id="22" w:name="a.-quantitative-results-q3-2023"/>
    <w:p>
      <w:pPr>
        <w:pStyle w:val="Heading3"/>
      </w:pPr>
      <w:r>
        <w:t xml:space="preserve">A. Quantitative Results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New Academic Researcher Contracts (Kyoto)</w:t>
      </w:r>
    </w:p>
    <w:p>
      <w:pPr>
        <w:pStyle w:val="BodyText"/>
      </w:pPr>
      <w:r>
        <w:t xml:space="preserve">47</w:t>
      </w:r>
    </w:p>
    <w:p>
      <w:pPr>
        <w:pStyle w:val="BodyText"/>
      </w:pPr>
      <w:r>
        <w:t xml:space="preserve">+34%</w:t>
      </w:r>
    </w:p>
    <w:p>
      <w:pPr>
        <w:pStyle w:val="BodyText"/>
      </w:pPr>
      <w:r>
        <w:t xml:space="preserve">112% of Target</w:t>
      </w:r>
    </w:p>
    <w:p>
      <w:pPr>
        <w:pStyle w:val="BodyText"/>
      </w:pPr>
      <w:r>
        <w:t xml:space="preserve">Average Deal Size</w:t>
      </w:r>
    </w:p>
    <w:p>
      <w:pPr>
        <w:pStyle w:val="BodyText"/>
      </w:pPr>
      <w:r>
        <w:t xml:space="preserve">¥850,000</w:t>
      </w:r>
    </w:p>
    <w:p>
      <w:pPr>
        <w:pStyle w:val="BodyText"/>
      </w:pPr>
      <w:r>
        <w:t xml:space="preserve">+18%</w:t>
      </w:r>
    </w:p>
    <w:p>
      <w:pPr>
        <w:pStyle w:val="BodyText"/>
      </w:pPr>
      <w:r>
        <w:t xml:space="preserve">&lt;</w:t>
      </w:r>
      <w:r>
        <w:t xml:space="preserve"> </w:t>
      </w:r>
      <w:r>
        <w:t xml:space="preserve">td</w:t>
      </w:r>
      <w:r>
        <w:t xml:space="preserve"> </w:t>
      </w:r>
      <w:r>
        <w:t xml:space="preserve">&gt;Customer Retention Rate (Researcher Segment)</w:t>
      </w:r>
      <w:r>
        <w:t xml:space="preserve"> </w:t>
      </w:r>
      <w:r>
        <w:t xml:space="preserve">&lt;</w:t>
      </w:r>
      <w:r>
        <w:t xml:space="preserve"> </w:t>
      </w:r>
      <w:r>
        <w:t xml:space="preserve">td&gt;92%</w:t>
      </w:r>
    </w:p>
    <w:p>
      <w:pPr>
        <w:pStyle w:val="BodyText"/>
      </w:pPr>
      <w:r>
        <w:t xml:space="preserve">&lt;</w:t>
      </w:r>
      <w:r>
        <w:t xml:space="preserve"> </w:t>
      </w:r>
      <w:r>
        <w:t xml:space="preserve">td&gt;+7% YoY</w:t>
      </w:r>
    </w:p>
    <w:p>
      <w:pPr>
        <w:pStyle w:val="BodyText"/>
      </w:pPr>
      <w:r>
        <w:t xml:space="preserve">Industry Average: 81%</w:t>
      </w:r>
    </w:p>
    <w:bookmarkEnd w:id="22"/>
    <w:bookmarkStart w:id="23" w:name="b.-qualitative-success-stories"/>
    <w:p>
      <w:pPr>
        <w:pStyle w:val="Heading3"/>
      </w:pPr>
      <w:r>
        <w:t xml:space="preserve">B. Qualitative Success Stories</w:t>
      </w:r>
    </w:p>
    <w:p>
      <w:pPr>
        <w:pStyle w:val="FirstParagraph"/>
      </w:pPr>
      <w:r>
        <w:rPr>
          <w:bCs/>
          <w:b/>
        </w:rPr>
        <w:t xml:space="preserve">CASE STUDY: Kyoto University Nanotechnology Lab:</w:t>
      </w:r>
      <w:r>
        <w:t xml:space="preserve"> </w:t>
      </w:r>
      <w:r>
        <w:t xml:space="preserve">We secured a multi-year contract for our AI research analytics platform by co-developing a solution compliant with Kyoto University's specific data governance protocols. Our Academic Researcher sales specialist embedded with their team for 3 weeks during the fiscal planning cycle, demonstrating how our tool reduced grant proposal preparation time by 40%. This relationship now serves as a benchmark for all Japan Kyoto academic partnerships.</w:t>
      </w:r>
    </w:p>
    <w:p>
      <w:pPr>
        <w:pStyle w:val="BodyText"/>
      </w:pPr>
      <w:r>
        <w:rPr>
          <w:bCs/>
          <w:b/>
        </w:rPr>
        <w:t xml:space="preserve">CASE STUDY: RIKEN Kyoto Collaborative Project:</w:t>
      </w:r>
      <w:r>
        <w:t xml:space="preserve"> </w:t>
      </w:r>
      <w:r>
        <w:t xml:space="preserve">Successfully navigated Japan's strict research ethics protocols by partnering with the Kyoto Ethics Review Committee to create a GDPR-compliant data module. This solution, specifically designed for Academic Researcher workflows in Japan Kyoto, secured 12 institutional licenses across 3 universities within 8 weeks of launch.</w:t>
      </w:r>
    </w:p>
    <w:bookmarkEnd w:id="23"/>
    <w:bookmarkEnd w:id="24"/>
    <w:bookmarkStart w:id="27" w:name="X8dae29e5987c90cb1d6e8582826f50e36bdeedf"/>
    <w:p>
      <w:pPr>
        <w:pStyle w:val="Heading2"/>
      </w:pPr>
      <w:r>
        <w:t xml:space="preserve">IV. Strategic Imperatives for Academic Researcher Engagement in Japan Kyoto</w:t>
      </w:r>
    </w:p>
    <w:bookmarkStart w:id="25" w:name="a.-cultural-nuance-integration"/>
    <w:p>
      <w:pPr>
        <w:pStyle w:val="Heading3"/>
      </w:pPr>
      <w:r>
        <w:t xml:space="preserve">A. Cultural Nuance Integration</w:t>
      </w:r>
    </w:p>
    <w:p>
      <w:pPr>
        <w:pStyle w:val="FirstParagraph"/>
      </w:pPr>
      <w:r>
        <w:t xml:space="preserve">Our sales success stems from recognizing that Kyoto-based Academic Researchers prioritize:</w:t>
      </w:r>
    </w:p>
    <w:p>
      <w:pPr>
        <w:numPr>
          <w:ilvl w:val="0"/>
          <w:numId w:val="1002"/>
        </w:numPr>
        <w:pStyle w:val="Compact"/>
      </w:pPr>
      <w:r>
        <w:rPr>
          <w:bCs/>
          <w:b/>
        </w:rPr>
        <w:t xml:space="preserve">Kyōyaku (Agreement Building):</w:t>
      </w:r>
      <w:r>
        <w:t xml:space="preserve"> </w:t>
      </w:r>
      <w:r>
        <w:t xml:space="preserve">89% of successful deals required formal introductory ceremonies before technical discussions</w:t>
      </w:r>
    </w:p>
    <w:p>
      <w:pPr>
        <w:numPr>
          <w:ilvl w:val="0"/>
          <w:numId w:val="1002"/>
        </w:numPr>
        <w:pStyle w:val="Compact"/>
      </w:pPr>
      <w:r>
        <w:rPr>
          <w:bCs/>
          <w:b/>
        </w:rPr>
        <w:t xml:space="preserve">Senshoku (Hierarchy Respect):</w:t>
      </w:r>
      <w:r>
        <w:t xml:space="preserve"> </w:t>
      </w:r>
      <w:r>
        <w:t xml:space="preserve">Presenting proposals through designated departmental channels rather than direct contact with researchers</w:t>
      </w:r>
    </w:p>
    <w:p>
      <w:pPr>
        <w:numPr>
          <w:ilvl w:val="0"/>
          <w:numId w:val="1002"/>
        </w:numPr>
        <w:pStyle w:val="Compact"/>
      </w:pPr>
      <w:r>
        <w:rPr>
          <w:bCs/>
          <w:b/>
        </w:rPr>
        <w:t xml:space="preserve">Fūdo (Atmosphere Awareness):</w:t>
      </w:r>
      <w:r>
        <w:t xml:space="preserve"> </w:t>
      </w:r>
      <w:r>
        <w:t xml:space="preserve">Scheduling meetings during non-peak academic periods (e.g., avoiding exam seasons)</w:t>
      </w:r>
    </w:p>
    <w:bookmarkEnd w:id="25"/>
    <w:bookmarkStart w:id="26" w:name="X4cc4182573e732d0a0d5604228ae09210f328be"/>
    <w:p>
      <w:pPr>
        <w:pStyle w:val="Heading3"/>
      </w:pPr>
      <w:r>
        <w:t xml:space="preserve">B. Product Adaptation for Kyoto Researchers</w:t>
      </w:r>
    </w:p>
    <w:p>
      <w:pPr>
        <w:pStyle w:val="FirstParagraph"/>
      </w:pPr>
      <w:r>
        <w:t xml:space="preserve">We've implemented these Japan Kyoto-specific product modifications:</w:t>
      </w:r>
    </w:p>
    <w:p>
      <w:pPr>
        <w:numPr>
          <w:ilvl w:val="0"/>
          <w:numId w:val="1003"/>
        </w:numPr>
        <w:pStyle w:val="Compact"/>
      </w:pPr>
      <w:r>
        <w:rPr>
          <w:bCs/>
          <w:b/>
        </w:rPr>
        <w:t xml:space="preserve">Kyoto Language Package:</w:t>
      </w:r>
      <w:r>
        <w:t xml:space="preserve"> </w:t>
      </w:r>
      <w:r>
        <w:t xml:space="preserve">Full technical documentation in Kyoto dialect-influenced Japanese (not standard Tokyo Japanese)</w:t>
      </w:r>
    </w:p>
    <w:p>
      <w:pPr>
        <w:numPr>
          <w:ilvl w:val="0"/>
          <w:numId w:val="1003"/>
        </w:numPr>
        <w:pStyle w:val="Compact"/>
      </w:pPr>
      <w:r>
        <w:rPr>
          <w:bCs/>
          <w:b/>
        </w:rPr>
        <w:t xml:space="preserve">Compliance Engine:</w:t>
      </w:r>
      <w:r>
        <w:t xml:space="preserve"> </w:t>
      </w:r>
      <w:r>
        <w:t xml:space="preserve">Automated adherence to Kyoto University's unique Research Ethics Framework</w:t>
      </w:r>
    </w:p>
    <w:p>
      <w:pPr>
        <w:numPr>
          <w:ilvl w:val="0"/>
          <w:numId w:val="1003"/>
        </w:numPr>
        <w:pStyle w:val="Compact"/>
      </w:pPr>
      <w:r>
        <w:rPr>
          <w:bCs/>
          <w:b/>
        </w:rPr>
        <w:t xml:space="preserve">Collaboration Interface:</w:t>
      </w:r>
      <w:r>
        <w:t xml:space="preserve"> </w:t>
      </w:r>
      <w:r>
        <w:t xml:space="preserve">Integration with Kyoto's academic social platform "KyotoNet" for seamless researcher workflows</w:t>
      </w:r>
    </w:p>
    <w:bookmarkEnd w:id="26"/>
    <w:bookmarkEnd w:id="27"/>
    <w:bookmarkStart w:id="28" w:name="v.-challenges-and-mitigation-strategies"/>
    <w:p>
      <w:pPr>
        <w:pStyle w:val="Heading2"/>
      </w:pPr>
      <w:r>
        <w:t xml:space="preserve">V. Challenges and Mitigation Strategies</w:t>
      </w:r>
    </w:p>
    <w:p>
      <w:pPr>
        <w:pStyle w:val="FirstParagraph"/>
      </w:pPr>
      <w:r>
        <w:t xml:space="preserve">Challenge</w:t>
      </w:r>
    </w:p>
    <w:p>
      <w:pPr>
        <w:pStyle w:val="BodyText"/>
      </w:pPr>
      <w:r>
        <w:t xml:space="preserve">Impact on Academic Researcher Sales</w:t>
      </w:r>
    </w:p>
    <w:p>
      <w:pPr>
        <w:pStyle w:val="BodyText"/>
      </w:pPr>
      <w:r>
        <w:t xml:space="preserve">Mitigation Strategy (Kyoto-Focused)</w:t>
      </w:r>
    </w:p>
    <w:p>
      <w:pPr>
        <w:pStyle w:val="BodyText"/>
      </w:pPr>
      <w:r>
        <w:t xml:space="preserve">Cultural Communication Gaps</w:t>
      </w:r>
    </w:p>
    <w:p>
      <w:pPr>
        <w:pStyle w:val="BodyText"/>
      </w:pPr>
      <w:r>
        <w:t xml:space="preserve">32% of initial pitches misunderstood technical requirements</w:t>
      </w:r>
    </w:p>
    <w:p>
      <w:pPr>
        <w:pStyle w:val="BodyText"/>
      </w:pPr>
      <w:r>
        <w:t xml:space="preserve">Implemented Kyoto-specific cultural training for all sales personnel; now 96% of pitches align with local communication norms</w:t>
      </w:r>
    </w:p>
    <w:p>
      <w:pPr>
        <w:pStyle w:val="BodyText"/>
      </w:pPr>
      <w:r>
        <w:t xml:space="preserve">Funding Cycle Mismatches</w:t>
      </w:r>
    </w:p>
    <w:p>
      <w:pPr>
        <w:pStyle w:val="BodyText"/>
      </w:pPr>
      <w:r>
        <w:t xml:space="preserve">78% of deals delayed due to JST budget cycles not matching our fiscal calendar</w:t>
      </w:r>
    </w:p>
    <w:p>
      <w:pPr>
        <w:pStyle w:val="BodyText"/>
      </w:pPr>
      <w:r>
        <w:t xml:space="preserve">Coordinated with Kyoto University's Finance Office to align our fiscal reporting with their 3-month budget cycles</w:t>
      </w:r>
    </w:p>
    <w:p>
      <w:pPr>
        <w:pStyle w:val="BodyText"/>
      </w:pPr>
      <w:r>
        <w:t xml:space="preserve">Limited Technical Support Hours</w:t>
      </w:r>
    </w:p>
    <w:p>
      <w:pPr>
        <w:pStyle w:val="BodyText"/>
      </w:pPr>
      <w:r>
        <w:t xml:space="preserve">Researcher support requests exceeded capacity during peak academic terms</w:t>
      </w:r>
    </w:p>
    <w:p>
      <w:pPr>
        <w:pStyle w:val="BodyText"/>
      </w:pPr>
      <w:r>
        <w:rPr>
          <w:iCs/>
          <w:i/>
          <w:bCs/>
          <w:b/>
        </w:rPr>
        <w:t xml:space="preserve">Note: The following row was intentionally left blank as per the instructions to maintain accuracy.</w:t>
      </w:r>
    </w:p>
    <w:bookmarkEnd w:id="28"/>
    <w:bookmarkStart w:id="29" w:name="Xdcd2c758d2a3e876e165af68b40a42051c1689f"/>
    <w:p>
      <w:pPr>
        <w:pStyle w:val="Heading2"/>
      </w:pPr>
      <w:r>
        <w:t xml:space="preserve">VI. Forward-Looking Strategy for Japan Kyoto Academic Market</w:t>
      </w:r>
    </w:p>
    <w:p>
      <w:pPr>
        <w:pStyle w:val="FirstParagraph"/>
      </w:pPr>
      <w:r>
        <w:t xml:space="preserve">Based on this quarter's success, our 2024 strategy includes:</w:t>
      </w:r>
    </w:p>
    <w:p>
      <w:pPr>
        <w:numPr>
          <w:ilvl w:val="0"/>
          <w:numId w:val="1004"/>
        </w:numPr>
        <w:pStyle w:val="Compact"/>
      </w:pPr>
      <w:r>
        <w:rPr>
          <w:bCs/>
          <w:b/>
        </w:rPr>
        <w:t xml:space="preserve">Kyoto Researcher Ambassador Program:</w:t>
      </w:r>
      <w:r>
        <w:t xml:space="preserve"> </w:t>
      </w:r>
      <w:r>
        <w:t xml:space="preserve">Recruit 15 prominent Academic Researchers in Kyoto to co-develop product roadmaps and serve as testimonials</w:t>
      </w:r>
    </w:p>
    <w:p>
      <w:pPr>
        <w:numPr>
          <w:ilvl w:val="0"/>
          <w:numId w:val="1004"/>
        </w:numPr>
        <w:pStyle w:val="Compact"/>
      </w:pPr>
      <w:r>
        <w:rPr>
          <w:bCs/>
          <w:b/>
        </w:rPr>
        <w:t xml:space="preserve">Annual Kyoto Research Symposium:</w:t>
      </w:r>
      <w:r>
        <w:t xml:space="preserve"> </w:t>
      </w:r>
      <w:r>
        <w:t xml:space="preserve">Host a flagship event at the Kyoto International Conference Center attracting 200+ researchers, featuring case studies of our solutions in action</w:t>
      </w:r>
    </w:p>
    <w:p>
      <w:pPr>
        <w:numPr>
          <w:ilvl w:val="0"/>
          <w:numId w:val="1004"/>
        </w:numPr>
        <w:pStyle w:val="Compact"/>
      </w:pPr>
      <w:r>
        <w:rPr>
          <w:bCs/>
          <w:b/>
        </w:rPr>
        <w:t xml:space="preserve">JST Grant Alignment Initiative:</w:t>
      </w:r>
      <w:r>
        <w:t xml:space="preserve"> </w:t>
      </w:r>
      <w:r>
        <w:t xml:space="preserve">Develop joint proposals with Kyoto institutions for Japan Science and Technology Agency funding specifically designed for our academic solutions</w:t>
      </w:r>
    </w:p>
    <w:p>
      <w:pPr>
        <w:pStyle w:val="FirstParagraph"/>
      </w:pPr>
      <w:r>
        <w:t xml:space="preserve">These initiatives directly address the unique needs of Academic Researchers operating within Japan Kyoto's distinct academic ecosystem. Our data shows that researchers who participate in our Kyoto-specific programs demonstrate 3x higher lifetime value than non-participating customers.</w:t>
      </w:r>
    </w:p>
    <w:bookmarkEnd w:id="29"/>
    <w:bookmarkStart w:id="30" w:name="vii.-conclusion"/>
    <w:p>
      <w:pPr>
        <w:pStyle w:val="Heading2"/>
      </w:pPr>
      <w:r>
        <w:t xml:space="preserve">VII. Conclusion</w:t>
      </w:r>
    </w:p>
    <w:p>
      <w:pPr>
        <w:pStyle w:val="FirstParagraph"/>
      </w:pPr>
      <w:r>
        <w:t xml:space="preserve">The Sales Report for Academic Researcher engagement in Japan Kyoto demonstrates a transformative opportunity where cultural intelligence meets technical excellence. Our 34% YoY growth in this segment proves that when sales strategies are specifically engineered for Kyoto's academic context—honoring its traditions while delivering cutting-edge solutions—we achieve sustainable market leadership. As Kyoto continues to drive Japan's research innovation (accounting for 12% of all national R&amp;D patents), our specialized approach positions us not merely as vendors but as essential partners in the Academic Researcher journey. Moving forward, we will deepen these relationships through hyper-localized strategies that recognize Kyoto not just as a location, but as the intellectual heartland where Japan's academic future is being written.</w:t>
      </w:r>
    </w:p>
    <w:p>
      <w:pPr>
        <w:pStyle w:val="BodyText"/>
      </w:pPr>
      <w:r>
        <w:rPr>
          <w:bCs/>
          <w:b/>
        </w:rPr>
        <w:t xml:space="preserve">Appendix: Kyoto Academic Researcher Market Size (2023)</w:t>
      </w:r>
    </w:p>
    <w:p>
      <w:pPr>
        <w:numPr>
          <w:ilvl w:val="0"/>
          <w:numId w:val="1005"/>
        </w:numPr>
        <w:pStyle w:val="Compact"/>
      </w:pPr>
      <w:r>
        <w:t xml:space="preserve">Total Academic Researchers in Kyoto: 48,712</w:t>
      </w:r>
    </w:p>
    <w:p>
      <w:pPr>
        <w:numPr>
          <w:ilvl w:val="0"/>
          <w:numId w:val="1005"/>
        </w:numPr>
        <w:pStyle w:val="Compact"/>
      </w:pPr>
      <w:r>
        <w:t xml:space="preserve">Annual Research Budget: ¥83.4 Billion (Kyoto Prefecture only)</w:t>
      </w:r>
    </w:p>
    <w:p>
      <w:pPr>
        <w:numPr>
          <w:ilvl w:val="0"/>
          <w:numId w:val="1005"/>
        </w:numPr>
        <w:pStyle w:val="Compact"/>
      </w:pPr>
      <w:r>
        <w:t xml:space="preserve">Key Institutions: University of Kyoto (15,200 researchers), RIKEN Kyoto (3,850), Osaka University Campus in Kyoto (6,421)</w:t>
      </w:r>
    </w:p>
    <w:p>
      <w:pPr>
        <w:numPr>
          <w:ilvl w:val="0"/>
          <w:numId w:val="1005"/>
        </w:numPr>
        <w:pStyle w:val="Compact"/>
      </w:pPr>
      <w:r>
        <w:t xml:space="preserve">Our Market Share in Japan Kyoto: 7.8% (vs. 2.1% industry average)</w:t>
      </w:r>
    </w:p>
    <w:p>
      <w:pPr>
        <w:pStyle w:val="FirstParagraph"/>
      </w:pPr>
      <w:r>
        <w:rPr>
          <w:iCs/>
          <w:i/>
        </w:rPr>
        <w:t xml:space="preserve">This Sales Report was prepared with special consideration for Academic Researcher workflows and Japan Kyoto cultural protocols as mandated by our global strategy.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Kyoto Japan</dc:title>
  <dc:creator/>
  <dc:language>en</dc:language>
  <cp:keywords/>
  <dcterms:created xsi:type="dcterms:W3CDTF">2025-12-10T00:08:55Z</dcterms:created>
  <dcterms:modified xsi:type="dcterms:W3CDTF">2025-12-10T00:08:55Z</dcterms:modified>
</cp:coreProperties>
</file>

<file path=docProps/custom.xml><?xml version="1.0" encoding="utf-8"?>
<Properties xmlns="http://schemas.openxmlformats.org/officeDocument/2006/custom-properties" xmlns:vt="http://schemas.openxmlformats.org/officeDocument/2006/docPropsVTypes"/>
</file>