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Engagement</w:t>
      </w:r>
      <w:r>
        <w:t xml:space="preserve"> </w:t>
      </w:r>
      <w:r>
        <w:t xml:space="preserve">Strategy</w:t>
      </w:r>
      <w:r>
        <w:t xml:space="preserve"> </w:t>
      </w:r>
      <w:r>
        <w:t xml:space="preserve">in</w:t>
      </w:r>
      <w:r>
        <w:t xml:space="preserve"> </w:t>
      </w:r>
      <w:r>
        <w:t xml:space="preserve">Japan</w:t>
      </w:r>
      <w:r>
        <w:t xml:space="preserve"> </w:t>
      </w:r>
      <w:r>
        <w:t xml:space="preserve">Osaka</w:t>
      </w:r>
    </w:p>
    <w:bookmarkStart w:id="26" w:name="Xa2e89878cfe96498b227b24add5e1c73e9b56fb"/>
    <w:p>
      <w:pPr>
        <w:pStyle w:val="Heading1"/>
      </w:pPr>
      <w:r>
        <w:t xml:space="preserve">Sales Report: Strategic Engagement with Academic Researchers in Japan Osaka</w:t>
      </w:r>
    </w:p>
    <w:bookmarkStart w:id="20" w:name="executive-summary"/>
    <w:p>
      <w:pPr>
        <w:pStyle w:val="Heading2"/>
      </w:pPr>
      <w:r>
        <w:t xml:space="preserve">Executive Summary</w:t>
      </w:r>
    </w:p>
    <w:p>
      <w:pPr>
        <w:pStyle w:val="FirstParagraph"/>
      </w:pPr>
      <w:r>
        <w:t xml:space="preserve">This Sales Report details the performance and strategic initiatives focused on academic researcher engagement within the Osaka ecosystem, Japan. As of Q3 2023, our targeted outreach to Academic Researchers across Osaka's premier institutions has achieved a 34% year-over-year increase in qualified leads, demonstrating strong alignment with regional research priorities. The report underscores how our solutions directly address the unique operational challenges faced by Academic Researchers operating within Japan's rigorous academic framework, particularly in Osaka's innovation corridors.</w:t>
      </w:r>
    </w:p>
    <w:bookmarkEnd w:id="20"/>
    <w:bookmarkStart w:id="21" w:name="X66dac6a6911d20192dd4feb3daa376355d5ff4a"/>
    <w:p>
      <w:pPr>
        <w:pStyle w:val="Heading2"/>
      </w:pPr>
      <w:r>
        <w:t xml:space="preserve">Osaka Market Landscape: Context for Academic Researcher Engagement</w:t>
      </w:r>
    </w:p>
    <w:p>
      <w:pPr>
        <w:pStyle w:val="FirstParagraph"/>
      </w:pPr>
      <w:r>
        <w:t xml:space="preserve">Japan Osaka represents a critical hub for advanced academic research, anchored by institutions like Osaka University (frequently ranked among Asia's top 10 universities), Kansai Science City, and the National Institutes of Advanced Industrial Science and Technology (AIST) facilities. Academic Researchers in this region are heavily focused on interdisciplinary fields including robotics, biotechnology, sustainable materials science, and AI-driven healthcare solutions – areas with significant government funding from Japan's Ministry of Education, Culture, Sports, Science and Technology (MEXT). The Osaka Prefectural government actively supports industry-academia collaboration through initiatives like the "Osaka Innovation Hub," creating a fertile environment for research-oriented business solutions. This report confirms that 78% of our sales opportunities in Japan originate from this specific Osaka academic cluster.</w:t>
      </w:r>
    </w:p>
    <w:bookmarkEnd w:id="21"/>
    <w:bookmarkStart w:id="22" w:name="X72d0390415d9cfbd5fbc1a1788c4bf556d110e1"/>
    <w:p>
      <w:pPr>
        <w:pStyle w:val="Heading2"/>
      </w:pPr>
      <w:r>
        <w:t xml:space="preserve">Sales Performance: Measuring Engagement with Academic Researchers</w:t>
      </w:r>
    </w:p>
    <w:p>
      <w:pPr>
        <w:pStyle w:val="FirstParagraph"/>
      </w:pPr>
      <w:r>
        <w:t xml:space="preserve">Our Sales Report tracks engagement metrics specifically tailored to the Academic Researcher persona, moving beyond traditional revenue KPIs. Key achievements include:</w:t>
      </w:r>
    </w:p>
    <w:p>
      <w:pPr>
        <w:numPr>
          <w:ilvl w:val="0"/>
          <w:numId w:val="1001"/>
        </w:numPr>
        <w:pStyle w:val="Compact"/>
      </w:pPr>
      <w:r>
        <w:rPr>
          <w:bCs/>
          <w:b/>
        </w:rPr>
        <w:t xml:space="preserve">Targeted Outreach Success:</w:t>
      </w:r>
      <w:r>
        <w:t xml:space="preserve"> </w:t>
      </w:r>
      <w:r>
        <w:t xml:space="preserve">127 qualified meetings secured with Academic Researchers across Osaka (up 34% YoY), primarily through university partnerships and attendance at the annual Osaka Research Symposium.</w:t>
      </w:r>
    </w:p>
    <w:p>
      <w:pPr>
        <w:numPr>
          <w:ilvl w:val="0"/>
          <w:numId w:val="1001"/>
        </w:numPr>
        <w:pStyle w:val="Compact"/>
      </w:pPr>
      <w:r>
        <w:rPr>
          <w:bCs/>
          <w:b/>
        </w:rPr>
        <w:t xml:space="preserve">Solution Adoption Rate:</w:t>
      </w:r>
      <w:r>
        <w:t xml:space="preserve"> </w:t>
      </w:r>
      <w:r>
        <w:t xml:space="preserve">A 58% increase in adoption of our data management platform among Academic Researchers, directly linked to its compliance with Japan's stringent research data governance standards (e.g., Act on the Protection of Personal Information).</w:t>
      </w:r>
    </w:p>
    <w:p>
      <w:pPr>
        <w:numPr>
          <w:ilvl w:val="0"/>
          <w:numId w:val="1001"/>
        </w:numPr>
        <w:pStyle w:val="Compact"/>
      </w:pPr>
      <w:r>
        <w:rPr>
          <w:bCs/>
          <w:b/>
        </w:rPr>
        <w:t xml:space="preserve">Grant Support Utilization:</w:t>
      </w:r>
      <w:r>
        <w:t xml:space="preserve"> </w:t>
      </w:r>
      <w:r>
        <w:t xml:space="preserve">42% of Osaka-based Academic Researchers using our grant proposal tools secured funding in 2023, significantly above the regional average for similar institutions.</w:t>
      </w:r>
    </w:p>
    <w:p>
      <w:pPr>
        <w:numPr>
          <w:ilvl w:val="0"/>
          <w:numId w:val="1001"/>
        </w:numPr>
        <w:pStyle w:val="Compact"/>
      </w:pPr>
      <w:r>
        <w:rPr>
          <w:bCs/>
          <w:b/>
        </w:rPr>
        <w:t xml:space="preserve">Cultural Integration:</w:t>
      </w:r>
      <w:r>
        <w:t xml:space="preserve"> </w:t>
      </w:r>
      <w:r>
        <w:t xml:space="preserve">Sales team training on Japanese academic protocols ("kenkyū kōshiki") improved relationship-building, leading to a 67% higher referral rate from existing Academic Researcher contacts in Osaka.</w:t>
      </w:r>
    </w:p>
    <w:bookmarkEnd w:id="22"/>
    <w:bookmarkStart w:id="23" w:name="Xba5058d560583c06afd0cf5a0c1f7028ef2d0ba"/>
    <w:p>
      <w:pPr>
        <w:pStyle w:val="Heading2"/>
      </w:pPr>
      <w:r>
        <w:t xml:space="preserve">Strategic Insights: Why Osaka Academic Researchers Respond</w:t>
      </w:r>
    </w:p>
    <w:p>
      <w:pPr>
        <w:pStyle w:val="FirstParagraph"/>
      </w:pPr>
      <w:r>
        <w:t xml:space="preserve">The success of our strategy hinges on understanding the specific operational realities faced by an Academic Researcher in Japan. Unlike commercial customers, their "purchase" decisions prioritize:</w:t>
      </w:r>
    </w:p>
    <w:p>
      <w:pPr>
        <w:numPr>
          <w:ilvl w:val="0"/>
          <w:numId w:val="1002"/>
        </w:numPr>
        <w:pStyle w:val="Compact"/>
      </w:pPr>
      <w:r>
        <w:rPr>
          <w:bCs/>
          <w:b/>
        </w:rPr>
        <w:t xml:space="preserve">Funding Alignment:</w:t>
      </w:r>
      <w:r>
        <w:t xml:space="preserve"> </w:t>
      </w:r>
      <w:r>
        <w:t xml:space="preserve">Solutions must demonstrably support MEXT grant applications, a critical factor for Osaka-based Academic Researchers where 68% of research projects rely on competitive funding.</w:t>
      </w:r>
    </w:p>
    <w:p>
      <w:pPr>
        <w:numPr>
          <w:ilvl w:val="0"/>
          <w:numId w:val="1002"/>
        </w:numPr>
        <w:pStyle w:val="Compact"/>
      </w:pPr>
      <w:r>
        <w:rPr>
          <w:bCs/>
          <w:b/>
        </w:rPr>
        <w:t xml:space="preserve">Collaboration Ecosystems:</w:t>
      </w:r>
      <w:r>
        <w:t xml:space="preserve"> </w:t>
      </w:r>
      <w:r>
        <w:t xml:space="preserve">Osaka's academic landscape thrives on "keiretsu" (collaborative networks) between universities, hospitals, and industry. Our solutions facilitate seamless data sharing across these institutional boundaries.</w:t>
      </w:r>
    </w:p>
    <w:p>
      <w:pPr>
        <w:numPr>
          <w:ilvl w:val="0"/>
          <w:numId w:val="1002"/>
        </w:numPr>
        <w:pStyle w:val="Compact"/>
      </w:pPr>
      <w:r>
        <w:rPr>
          <w:bCs/>
          <w:b/>
        </w:rPr>
        <w:t xml:space="preserve">Compliance &amp; Trust:</w:t>
      </w:r>
      <w:r>
        <w:t xml:space="preserve"> </w:t>
      </w:r>
      <w:r>
        <w:t xml:space="preserve">Japanese Academic Researchers prioritize platforms with certified Japanese data sovereignty. Our local Osaka-based server infrastructure (operated in partnership with NTT Data) was a decisive factor for 73% of new sign-ups.</w:t>
      </w:r>
    </w:p>
    <w:p>
      <w:pPr>
        <w:numPr>
          <w:ilvl w:val="0"/>
          <w:numId w:val="1002"/>
        </w:numPr>
        <w:pStyle w:val="Compact"/>
      </w:pPr>
      <w:r>
        <w:rPr>
          <w:bCs/>
          <w:b/>
        </w:rPr>
        <w:t xml:space="preserve">Workflow Integration:</w:t>
      </w:r>
      <w:r>
        <w:t xml:space="preserve"> </w:t>
      </w:r>
      <w:r>
        <w:t xml:space="preserve">Solutions must fit into established research processes without disrupting the "gaman" (perseverance) culture. Our AI-assisted literature review tool reduced time spent on preliminary research by 25%, directly addressing a top pain point.</w:t>
      </w:r>
    </w:p>
    <w:bookmarkEnd w:id="23"/>
    <w:bookmarkStart w:id="24" w:name="Xa9803e63564e8a215ceb3b9c5255319a5573cb8"/>
    <w:p>
      <w:pPr>
        <w:pStyle w:val="Heading2"/>
      </w:pPr>
      <w:r>
        <w:t xml:space="preserve">Recommendations for Enhanced Sales Strategy in Osaka</w:t>
      </w:r>
    </w:p>
    <w:p>
      <w:pPr>
        <w:pStyle w:val="FirstParagraph"/>
      </w:pPr>
      <w:r>
        <w:t xml:space="preserve">Based on this Sales Report, the following actions are recommended to deepen Academic Researcher engagement in Japan Osaka:</w:t>
      </w:r>
    </w:p>
    <w:p>
      <w:pPr>
        <w:numPr>
          <w:ilvl w:val="0"/>
          <w:numId w:val="1003"/>
        </w:numPr>
        <w:pStyle w:val="Compact"/>
      </w:pPr>
      <w:r>
        <w:rPr>
          <w:bCs/>
          <w:b/>
        </w:rPr>
        <w:t xml:space="preserve">Deepen MEXT Partnership:</w:t>
      </w:r>
      <w:r>
        <w:t xml:space="preserve"> </w:t>
      </w:r>
      <w:r>
        <w:t xml:space="preserve">Co-develop solution modules specifically aligned with MEXT's 2023 "Super Global University" initiative priorities. Target joint workshops at Osaka University’s Graduate School of Engineering.</w:t>
      </w:r>
    </w:p>
    <w:p>
      <w:pPr>
        <w:numPr>
          <w:ilvl w:val="0"/>
          <w:numId w:val="1003"/>
        </w:numPr>
        <w:pStyle w:val="Compact"/>
      </w:pPr>
      <w:r>
        <w:rPr>
          <w:bCs/>
          <w:b/>
        </w:rPr>
        <w:t xml:space="preserve">Leverage Osaka Innovation Hubs:</w:t>
      </w:r>
      <w:r>
        <w:t xml:space="preserve"> </w:t>
      </w:r>
      <w:r>
        <w:t xml:space="preserve">Establish dedicated support desks within Kansai Science City facilities staffed by Japan-localized sales specialists fluent in academic terminology and protocols.</w:t>
      </w:r>
    </w:p>
    <w:p>
      <w:pPr>
        <w:numPr>
          <w:ilvl w:val="0"/>
          <w:numId w:val="1003"/>
        </w:numPr>
        <w:pStyle w:val="Compact"/>
      </w:pPr>
      <w:r>
        <w:rPr>
          <w:bCs/>
          <w:b/>
        </w:rPr>
        <w:t xml:space="preserve">Cultural Nuance Integration:</w:t>
      </w:r>
      <w:r>
        <w:t xml:space="preserve"> </w:t>
      </w:r>
      <w:r>
        <w:t xml:space="preserve">Train all sales personnel on Osaka-specific academic customs (e.g., appropriate timing for proposals during "shūkō" [end-of-term] periods) to build authentic trust.</w:t>
      </w:r>
    </w:p>
    <w:bookmarkEnd w:id="24"/>
    <w:bookmarkStart w:id="25" w:name="X56a42f6472a3940f1c39a8dedcc7d1c2bd8e347"/>
    <w:p>
      <w:pPr>
        <w:pStyle w:val="Heading2"/>
      </w:pPr>
      <w:r>
        <w:t xml:space="preserve">Conclusion: The Osaka Academic Researcher as a Strategic Asset</w:t>
      </w:r>
    </w:p>
    <w:p>
      <w:pPr>
        <w:pStyle w:val="FirstParagraph"/>
      </w:pPr>
      <w:r>
        <w:t xml:space="preserve">This Sales Report confirms that Japan Osaka is not merely a market, but a strategic research ecosystem where Academic Researchers represent the primary catalyst for innovation adoption. Our success stems from recognizing that selling to an Academic Researcher in Osaka requires respecting the nuanced interplay of Japanese academic culture, MEXT funding mechanisms, and the region's unique industry-academia synergy. The 34% YoY growth in qualified leads demonstrates that solutions designed *for* researchers – not just *to* them – resonate powerfully within Osaka's dynamic academic environment. As we continue to refine our approach, the focus remains on becoming an indispensable partner to Academic Researchers navigating Japan's complex but highly productive research landscape. The path forward demands deeper integration with Osaka's innovation fabric, ensuring every solution aligns with the mission-driven work of its researchers.</w:t>
      </w:r>
    </w:p>
    <w:p>
      <w:pPr>
        <w:pStyle w:val="BodyText"/>
      </w:pPr>
      <w:r>
        <w:rPr>
          <w:bCs/>
          <w:b/>
        </w:rPr>
        <w:t xml:space="preserve">Prepared For:</w:t>
      </w:r>
      <w:r>
        <w:t xml:space="preserve"> </w:t>
      </w:r>
      <w:r>
        <w:t xml:space="preserve">Global Sales Leadership Team</w:t>
      </w:r>
      <w:r>
        <w:br/>
      </w:r>
      <w:r>
        <w:rPr>
          <w:bCs/>
          <w:b/>
        </w:rPr>
        <w:t xml:space="preserve">Report Period:</w:t>
      </w:r>
      <w:r>
        <w:t xml:space="preserve"> </w:t>
      </w:r>
      <w:r>
        <w:t xml:space="preserve">Q1-Q3 2023</w:t>
      </w:r>
      <w:r>
        <w:br/>
      </w:r>
      <w:r>
        <w:rPr>
          <w:bCs/>
          <w:b/>
        </w:rPr>
        <w:t xml:space="preserve">Sales Report 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Engagement Strategy in Japan Osaka</dc:title>
  <dc:creator/>
  <dc:language>en</dc:language>
  <cp:keywords/>
  <dcterms:created xsi:type="dcterms:W3CDTF">2026-07-23T22:16:36Z</dcterms:created>
  <dcterms:modified xsi:type="dcterms:W3CDTF">2026-07-23T22:16:36Z</dcterms:modified>
</cp:coreProperties>
</file>

<file path=docProps/custom.xml><?xml version="1.0" encoding="utf-8"?>
<Properties xmlns="http://schemas.openxmlformats.org/officeDocument/2006/custom-properties" xmlns:vt="http://schemas.openxmlformats.org/officeDocument/2006/docPropsVTypes"/>
</file>