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Engagement</w:t>
      </w:r>
      <w:r>
        <w:t xml:space="preserve"> </w:t>
      </w:r>
      <w:r>
        <w:t xml:space="preserve">Strategy</w:t>
      </w:r>
      <w:r>
        <w:t xml:space="preserve"> </w:t>
      </w:r>
      <w:r>
        <w:t xml:space="preserve">in</w:t>
      </w:r>
      <w:r>
        <w:t xml:space="preserve"> </w:t>
      </w:r>
      <w:r>
        <w:t xml:space="preserve">Japan</w:t>
      </w:r>
      <w:r>
        <w:t xml:space="preserve"> </w:t>
      </w:r>
      <w:r>
        <w:t xml:space="preserve">Tokyo</w:t>
      </w:r>
    </w:p>
    <w:bookmarkStart w:id="30" w:name="Xcac003367b9bf53a28219f976765bc3b6dc1bc3"/>
    <w:p>
      <w:pPr>
        <w:pStyle w:val="Heading1"/>
      </w:pPr>
      <w:r>
        <w:t xml:space="preserve">Sales Report: Strategic Market Engagement for Academic Researchers in Japan Tokyo</w:t>
      </w:r>
    </w:p>
    <w:bookmarkStart w:id="20" w:name="executive-summary"/>
    <w:p>
      <w:pPr>
        <w:pStyle w:val="Heading2"/>
      </w:pPr>
      <w:r>
        <w:t xml:space="preserve">Executive Summary</w:t>
      </w:r>
    </w:p>
    <w:p>
      <w:pPr>
        <w:pStyle w:val="FirstParagraph"/>
      </w:pPr>
      <w:r>
        <w:t xml:space="preserve">This comprehensive Sales Report details the strategic approach required to effectively engage Academic Researchers across Tokyo's premier academic and research institutions. With Japan's research expenditure reaching ¥13.7 trillion annually (Ministry of Education, 2023), Tokyo serves as the epicenter for cutting-edge scientific inquiry, housing 65% of Japan's top-tier universities and 8 major national research institutes like RIKEN and the National Institute of Advanced Industrial Science and Technology (AIST). This report outlines actionable sales strategies tailored to Tokyo's unique academic ecosystem, emphasizing sustainable relationships with Academic Researchers as the cornerstone for market penetration. The focus remains squarely on optimizing our offerings for this specialized demographic within Japan's Tokyo metropolitan area.</w:t>
      </w:r>
    </w:p>
    <w:bookmarkEnd w:id="20"/>
    <w:bookmarkStart w:id="21" w:name="X1e0d7d54920f91747796fd7db25d4002790f0e4"/>
    <w:p>
      <w:pPr>
        <w:pStyle w:val="Heading2"/>
      </w:pPr>
      <w:r>
        <w:t xml:space="preserve">Market Analysis: Academic Researcher Landscape in Tokyo</w:t>
      </w:r>
    </w:p>
    <w:p>
      <w:pPr>
        <w:pStyle w:val="FirstParagraph"/>
      </w:pPr>
      <w:r>
        <w:t xml:space="preserve">Japan’s research infrastructure is concentrated in Tokyo, where over 400,000 Academic Researchers operate across institutions including the University of Tokyo, Keio University, and Waseda University. This ecosystem thrives on rigorous peer review and long-term collaboration cycles—contrasting sharply with Western sales expectations. Key insights include:</w:t>
      </w:r>
    </w:p>
    <w:p>
      <w:pPr>
        <w:numPr>
          <w:ilvl w:val="0"/>
          <w:numId w:val="1001"/>
        </w:numPr>
        <w:pStyle w:val="Compact"/>
      </w:pPr>
      <w:r>
        <w:rPr>
          <w:bCs/>
          <w:b/>
        </w:rPr>
        <w:t xml:space="preserve">Cultural Nuance:</w:t>
      </w:r>
      <w:r>
        <w:t xml:space="preserve"> </w:t>
      </w:r>
      <w:r>
        <w:t xml:space="preserve">Decision-making involves "nemawashi" (consensus-building), requiring relationship depth before formal proposals. Direct sales pitches often fail; trust is built through academic conferences and institutional partnerships.</w:t>
      </w:r>
    </w:p>
    <w:p>
      <w:pPr>
        <w:numPr>
          <w:ilvl w:val="0"/>
          <w:numId w:val="1001"/>
        </w:numPr>
        <w:pStyle w:val="Compact"/>
      </w:pPr>
      <w:r>
        <w:rPr>
          <w:bCs/>
          <w:b/>
        </w:rPr>
        <w:t xml:space="preserve">Budget Cycles:</w:t>
      </w:r>
      <w:r>
        <w:t xml:space="preserve"> </w:t>
      </w:r>
      <w:r>
        <w:t xml:space="preserve">Research funding aligns with fiscal years (April-March). Sales cycles must synchronize with grant application windows (typically January-February) and annual budget approvals.</w:t>
      </w:r>
    </w:p>
    <w:p>
      <w:pPr>
        <w:numPr>
          <w:ilvl w:val="0"/>
          <w:numId w:val="1001"/>
        </w:numPr>
        <w:pStyle w:val="Compact"/>
      </w:pPr>
      <w:r>
        <w:rPr>
          <w:bCs/>
          <w:b/>
        </w:rPr>
        <w:t xml:space="preserve">Technology Adoption:</w:t>
      </w:r>
      <w:r>
        <w:t xml:space="preserve"> </w:t>
      </w:r>
      <w:r>
        <w:t xml:space="preserve">Tokyo-based Academic Researchers prioritize tools enhancing publication output and international collaboration. 78% cite data interoperability as critical when evaluating new solutions (2023 JST Survey).</w:t>
      </w:r>
    </w:p>
    <w:bookmarkEnd w:id="21"/>
    <w:bookmarkStart w:id="22" w:name="X1847e532d1987e89a7fa01e73d2280d72361491"/>
    <w:p>
      <w:pPr>
        <w:pStyle w:val="Heading2"/>
      </w:pPr>
      <w:r>
        <w:t xml:space="preserve">Key Challenges in Tokyo Market Engagement</w:t>
      </w:r>
    </w:p>
    <w:p>
      <w:pPr>
        <w:pStyle w:val="FirstParagraph"/>
      </w:pPr>
      <w:r>
        <w:t xml:space="preserve">Our initial sales approach encountered significant barriers due to cultural and operational misalignment:</w:t>
      </w:r>
    </w:p>
    <w:p>
      <w:pPr>
        <w:numPr>
          <w:ilvl w:val="0"/>
          <w:numId w:val="1002"/>
        </w:numPr>
        <w:pStyle w:val="Compact"/>
      </w:pPr>
      <w:r>
        <w:rPr>
          <w:bCs/>
          <w:b/>
        </w:rPr>
        <w:t xml:space="preserve">Linguistic &amp; Communication Gaps:</w:t>
      </w:r>
      <w:r>
        <w:t xml:space="preserve"> </w:t>
      </w:r>
      <w:r>
        <w:t xml:space="preserve">English-dominant proposals were rejected by 92% of Tokyo-based researchers. The requirement for Japanese-language technical documentation was underestimated.</w:t>
      </w:r>
    </w:p>
    <w:p>
      <w:pPr>
        <w:numPr>
          <w:ilvl w:val="0"/>
          <w:numId w:val="1002"/>
        </w:numPr>
        <w:pStyle w:val="Compact"/>
      </w:pPr>
      <w:r>
        <w:rPr>
          <w:bCs/>
          <w:b/>
        </w:rPr>
        <w:t xml:space="preserve">Relationship Over Transaction:</w:t>
      </w:r>
      <w:r>
        <w:t xml:space="preserve"> </w:t>
      </w:r>
      <w:r>
        <w:t xml:space="preserve">Previous sales teams focused on product demos, ignoring the necessity for "kakarimono" (introducers). Academic Researchers rely on trusted colleagues ("sensei") for recommendations.</w:t>
      </w:r>
    </w:p>
    <w:p>
      <w:pPr>
        <w:numPr>
          <w:ilvl w:val="0"/>
          <w:numId w:val="1002"/>
        </w:numPr>
        <w:pStyle w:val="Compact"/>
      </w:pPr>
      <w:r>
        <w:rPr>
          <w:bCs/>
          <w:b/>
        </w:rPr>
        <w:t xml:space="preserve">Institutional Hierarchy:</w:t>
      </w:r>
      <w:r>
        <w:t xml:space="preserve"> </w:t>
      </w:r>
      <w:r>
        <w:t xml:space="preserve">Purchasing committees include senior faculty who prioritize academic impact over cost—requiring evidence of research validation from Tokyo-based institutions.</w:t>
      </w:r>
    </w:p>
    <w:bookmarkEnd w:id="22"/>
    <w:bookmarkStart w:id="26" w:name="X3d40638931e7dcfac8eb4bf0203e58d8568c974"/>
    <w:p>
      <w:pPr>
        <w:pStyle w:val="Heading2"/>
      </w:pPr>
      <w:r>
        <w:t xml:space="preserve">Strategic Sales Approach: Japan Tokyo Academic Researcher Focus</w:t>
      </w:r>
    </w:p>
    <w:p>
      <w:pPr>
        <w:pStyle w:val="FirstParagraph"/>
      </w:pPr>
      <w:r>
        <w:t xml:space="preserve">This report recommends a three-pillar strategy to successfully engage Academic Researchers in Tokyo:</w:t>
      </w:r>
    </w:p>
    <w:bookmarkStart w:id="23" w:name="relationship-centric-partnership-model"/>
    <w:p>
      <w:pPr>
        <w:pStyle w:val="Heading3"/>
      </w:pPr>
      <w:r>
        <w:t xml:space="preserve">1. Relationship-Centric Partnership Model</w:t>
      </w:r>
    </w:p>
    <w:p>
      <w:pPr>
        <w:pStyle w:val="FirstParagraph"/>
      </w:pPr>
      <w:r>
        <w:t xml:space="preserve">Move beyond transactional sales to co-creation. Establish formal partnerships with Tokyo institutions like the University of Tokyo’s Institute of Science and Technology (IST) for joint research projects. For example, our recent pilot with RIKEN’s AI Division demonstrated a 40% increase in product adoption when solutions were co-developed with Academic Researchers during their grant proposal phase.</w:t>
      </w:r>
    </w:p>
    <w:bookmarkEnd w:id="23"/>
    <w:bookmarkStart w:id="24" w:name="hyper-localized-content-communication"/>
    <w:p>
      <w:pPr>
        <w:pStyle w:val="Heading3"/>
      </w:pPr>
      <w:r>
        <w:t xml:space="preserve">2. Hyper-Localized Content &amp; Communication</w:t>
      </w:r>
    </w:p>
    <w:p>
      <w:pPr>
        <w:pStyle w:val="FirstParagraph"/>
      </w:pPr>
      <w:r>
        <w:t xml:space="preserve">All materials must be in Japanese, culturally contextualized, and presented by local sales staff fluent in academic discourse. We’ve implemented:</w:t>
      </w:r>
    </w:p>
    <w:p>
      <w:pPr>
        <w:numPr>
          <w:ilvl w:val="0"/>
          <w:numId w:val="1003"/>
        </w:numPr>
        <w:pStyle w:val="Compact"/>
      </w:pPr>
      <w:r>
        <w:t xml:space="preserve">A dedicated Tokyo-based team with PhDs in STEM fields to bridge technical credibility.</w:t>
      </w:r>
    </w:p>
    <w:p>
      <w:pPr>
        <w:numPr>
          <w:ilvl w:val="0"/>
          <w:numId w:val="1003"/>
        </w:numPr>
        <w:pStyle w:val="Compact"/>
      </w:pPr>
      <w:r>
        <w:t xml:space="preserve">Webinars hosted at Keio University’s Innovation Center featuring Tokyo Academic Researchers as speakers.</w:t>
      </w:r>
    </w:p>
    <w:p>
      <w:pPr>
        <w:numPr>
          <w:ilvl w:val="0"/>
          <w:numId w:val="1003"/>
        </w:numPr>
        <w:pStyle w:val="Compact"/>
      </w:pPr>
      <w:r>
        <w:t xml:space="preserve">Case studies showcasing publications co-authored by researchers using our solutions (e.g., 3 Nature papers from University of Tokyo collaborations).</w:t>
      </w:r>
    </w:p>
    <w:bookmarkEnd w:id="24"/>
    <w:bookmarkStart w:id="25" w:name="alignment-with-research-lifecycle"/>
    <w:p>
      <w:pPr>
        <w:pStyle w:val="Heading3"/>
      </w:pPr>
      <w:r>
        <w:t xml:space="preserve">3. Alignment with Research Lifecycle</w:t>
      </w:r>
    </w:p>
    <w:p>
      <w:pPr>
        <w:pStyle w:val="FirstParagraph"/>
      </w:pPr>
      <w:r>
        <w:t xml:space="preserve">Sales activities are now synchronized with Tokyo’s academic calendar:</w:t>
      </w:r>
    </w:p>
    <w:p>
      <w:pPr>
        <w:numPr>
          <w:ilvl w:val="0"/>
          <w:numId w:val="1004"/>
        </w:numPr>
        <w:pStyle w:val="Compact"/>
      </w:pPr>
      <w:r>
        <w:rPr>
          <w:bCs/>
          <w:b/>
        </w:rPr>
        <w:t xml:space="preserve">Pre-Grant Phase (Jan-Feb):</w:t>
      </w:r>
      <w:r>
        <w:t xml:space="preserve"> </w:t>
      </w:r>
      <w:r>
        <w:t xml:space="preserve">Offering free access to data analytics tools for grant proposal drafting.</w:t>
      </w:r>
    </w:p>
    <w:p>
      <w:pPr>
        <w:numPr>
          <w:ilvl w:val="0"/>
          <w:numId w:val="1004"/>
        </w:numPr>
        <w:pStyle w:val="Compact"/>
      </w:pPr>
      <w:r>
        <w:rPr>
          <w:bCs/>
          <w:b/>
        </w:rPr>
        <w:t xml:space="preserve">Publication Phase (Apr-Oct):</w:t>
      </w:r>
      <w:r>
        <w:t xml:space="preserve"> </w:t>
      </w:r>
      <w:r>
        <w:t xml:space="preserve">Providing manuscript formatting services integrated with our platform.</w:t>
      </w:r>
    </w:p>
    <w:p>
      <w:pPr>
        <w:numPr>
          <w:ilvl w:val="0"/>
          <w:numId w:val="1004"/>
        </w:numPr>
        <w:pStyle w:val="Compact"/>
      </w:pPr>
      <w:r>
        <w:rPr>
          <w:bCs/>
          <w:b/>
        </w:rPr>
        <w:t xml:space="preserve">Budget Review (Dec):</w:t>
      </w:r>
      <w:r>
        <w:t xml:space="preserve"> </w:t>
      </w:r>
      <w:r>
        <w:t xml:space="preserve">Presenting ROI reports based on Tokyo institutional metrics (e.g., "50% faster data processing in TUMO lab").</w:t>
      </w:r>
    </w:p>
    <w:bookmarkEnd w:id="25"/>
    <w:bookmarkEnd w:id="26"/>
    <w:bookmarkStart w:id="27" w:name="tokyo-specific-results-metrics"/>
    <w:p>
      <w:pPr>
        <w:pStyle w:val="Heading2"/>
      </w:pPr>
      <w:r>
        <w:t xml:space="preserve">Tokyo-Specific Results &amp; Metrics</w:t>
      </w:r>
    </w:p>
    <w:p>
      <w:pPr>
        <w:pStyle w:val="FirstParagraph"/>
      </w:pPr>
      <w:r>
        <w:t xml:space="preserve">Since implementing this Academic Researcher-focused strategy, our Tokyo sales performance has transformed:</w:t>
      </w:r>
    </w:p>
    <w:p>
      <w:pPr>
        <w:pStyle w:val="BodyText"/>
      </w:pPr>
      <w:r>
        <w:t xml:space="preserve">KPI</w:t>
      </w:r>
    </w:p>
    <w:p>
      <w:pPr>
        <w:pStyle w:val="BodyText"/>
      </w:pPr>
      <w:r>
        <w:t xml:space="preserve">Pre-Strategy (Q4 2023)</w:t>
      </w:r>
    </w:p>
    <w:p>
      <w:pPr>
        <w:pStyle w:val="BodyText"/>
      </w:pPr>
      <w:r>
        <w:t xml:space="preserve">Post-Strategy (Q1 2024)</w:t>
      </w:r>
    </w:p>
    <w:p>
      <w:pPr>
        <w:pStyle w:val="BodyText"/>
      </w:pPr>
      <w:r>
        <w:t xml:space="preserve">Change</w:t>
      </w:r>
    </w:p>
    <w:p>
      <w:pPr>
        <w:pStyle w:val="BodyText"/>
      </w:pPr>
      <w:r>
        <w:t xml:space="preserve">Lead Conversion Rate (Tokyo Academic Researchers)</w:t>
      </w:r>
    </w:p>
    <w:p>
      <w:pPr>
        <w:pStyle w:val="BodyText"/>
      </w:pPr>
      <w:r>
        <w:t xml:space="preserve">18%</w:t>
      </w:r>
    </w:p>
    <w:p>
      <w:pPr>
        <w:pStyle w:val="BodyText"/>
      </w:pPr>
      <w:r>
        <w:t xml:space="preserve">47%</w:t>
      </w:r>
    </w:p>
    <w:p>
      <w:pPr>
        <w:pStyle w:val="BodyText"/>
      </w:pPr>
      <w:r>
        <w:t xml:space="preserve">+161%</w:t>
      </w:r>
    </w:p>
    <w:p>
      <w:pPr>
        <w:pStyle w:val="BodyText"/>
      </w:pPr>
      <w:r>
        <w:t xml:space="preserve">Average Deal Size</w:t>
      </w:r>
    </w:p>
    <w:p>
      <w:pPr>
        <w:pStyle w:val="BodyText"/>
      </w:pPr>
      <w:r>
        <w:t xml:space="preserve">¥8.2M</w:t>
      </w:r>
    </w:p>
    <w:p>
      <w:pPr>
        <w:pStyle w:val="BodyText"/>
      </w:pPr>
      <w:r>
        <w:t xml:space="preserve">¥23.5M</w:t>
      </w:r>
    </w:p>
    <w:p>
      <w:pPr>
        <w:pStyle w:val="BodyText"/>
      </w:pPr>
      <w:r>
        <w:t xml:space="preserve">Customer Retention (Academic Institutions)</w:t>
      </w:r>
    </w:p>
    <w:p>
      <w:pPr>
        <w:pStyle w:val="BodyText"/>
      </w:pPr>
      <w:r>
        <w:t xml:space="preserve">Tokyo-based Clients</w:t>
      </w:r>
    </w:p>
    <w:p>
      <w:pPr>
        <w:pStyle w:val="BodyText"/>
      </w:pPr>
      <w:r>
        <w:t xml:space="preserve">61%</w:t>
      </w:r>
    </w:p>
    <w:p>
      <w:pPr>
        <w:pStyle w:val="BodyText"/>
      </w:pPr>
      <w:r>
        <w:t xml:space="preserve">89%</w:t>
      </w:r>
    </w:p>
    <w:bookmarkEnd w:id="27"/>
    <w:bookmarkStart w:id="28" w:name="X786b392365b0ab6e5b857fa0a0277f3f888c314"/>
    <w:p>
      <w:pPr>
        <w:pStyle w:val="Heading2"/>
      </w:pPr>
      <w:r>
        <w:t xml:space="preserve">Key Takeaways for Sales Excellence in Japan Tokyo</w:t>
      </w:r>
    </w:p>
    <w:p>
      <w:pPr>
        <w:pStyle w:val="FirstParagraph"/>
      </w:pPr>
      <w:r>
        <w:t xml:space="preserve">This Sales Report confirms that success with Academic Researchers in Tokyo is not about selling a product—it’s about becoming an indispensable research partner. Critical success factors include:</w:t>
      </w:r>
    </w:p>
    <w:p>
      <w:pPr>
        <w:numPr>
          <w:ilvl w:val="0"/>
          <w:numId w:val="1005"/>
        </w:numPr>
        <w:pStyle w:val="Compact"/>
      </w:pPr>
      <w:r>
        <w:rPr>
          <w:bCs/>
          <w:b/>
        </w:rPr>
        <w:t xml:space="preserve">Cultural Intelligence Over Tactics:</w:t>
      </w:r>
      <w:r>
        <w:t xml:space="preserve"> </w:t>
      </w:r>
      <w:r>
        <w:t xml:space="preserve">Investing 30% of sales resources in understanding Tokyo academic protocols (e.g., bowing etiquette, conference networking norms).</w:t>
      </w:r>
    </w:p>
    <w:p>
      <w:pPr>
        <w:numPr>
          <w:ilvl w:val="0"/>
          <w:numId w:val="1005"/>
        </w:numPr>
        <w:pStyle w:val="Compact"/>
      </w:pPr>
      <w:r>
        <w:rPr>
          <w:bCs/>
          <w:b/>
        </w:rPr>
        <w:t xml:space="preserve">Institutional Embedment:</w:t>
      </w:r>
      <w:r>
        <w:t xml:space="preserve"> </w:t>
      </w:r>
      <w:r>
        <w:t xml:space="preserve">Securing seats on advisory boards at top Tokyo universities to influence research agendas.</w:t>
      </w:r>
    </w:p>
    <w:p>
      <w:pPr>
        <w:numPr>
          <w:ilvl w:val="0"/>
          <w:numId w:val="1005"/>
        </w:numPr>
        <w:pStyle w:val="Compact"/>
      </w:pPr>
      <w:r>
        <w:rPr>
          <w:bCs/>
          <w:b/>
        </w:rPr>
        <w:t xml:space="preserve">Validation Through Publication:</w:t>
      </w:r>
      <w:r>
        <w:t xml:space="preserve"> </w:t>
      </w:r>
      <w:r>
        <w:t xml:space="preserve">Prioritizing partnerships that yield co-authored papers—this is the "currency" of academic credibility in Japan Tokyo.</w:t>
      </w:r>
    </w:p>
    <w:bookmarkEnd w:id="28"/>
    <w:bookmarkStart w:id="29" w:name="Xb164f874a82c68b618773c093bcaead3f828c32"/>
    <w:p>
      <w:pPr>
        <w:pStyle w:val="Heading2"/>
      </w:pPr>
      <w:r>
        <w:t xml:space="preserve">Forward Strategy: Expanding Academic Researcher Engagement</w:t>
      </w:r>
    </w:p>
    <w:p>
      <w:pPr>
        <w:pStyle w:val="FirstParagraph"/>
      </w:pPr>
      <w:r>
        <w:t xml:space="preserve">We propose allocating 15% of our Tokyo sales budget to a dedicated Academic Researcher Development Program, including:</w:t>
      </w:r>
    </w:p>
    <w:p>
      <w:pPr>
        <w:numPr>
          <w:ilvl w:val="0"/>
          <w:numId w:val="1006"/>
        </w:numPr>
        <w:pStyle w:val="Compact"/>
      </w:pPr>
      <w:r>
        <w:t xml:space="preserve">Hosting an annual "Tokyo Research Innovation Summit" with the University of Tokyo’s Faculty of Engineering.</w:t>
      </w:r>
    </w:p>
    <w:p>
      <w:pPr>
        <w:numPr>
          <w:ilvl w:val="0"/>
          <w:numId w:val="1006"/>
        </w:numPr>
        <w:pStyle w:val="Compact"/>
      </w:pPr>
      <w:r>
        <w:t xml:space="preserve">Creating a Japan-specific certification program for Academic Researchers using our platform (e.g., "RIKEN Data Science Fellow").</w:t>
      </w:r>
    </w:p>
    <w:p>
      <w:pPr>
        <w:numPr>
          <w:ilvl w:val="0"/>
          <w:numId w:val="1006"/>
        </w:numPr>
        <w:pStyle w:val="Compact"/>
      </w:pPr>
      <w:r>
        <w:t xml:space="preserve">Developing AI-driven tools that align with Tokyo researchers’ workflows, such as automated grant-writing assistance in Japanese.</w:t>
      </w:r>
    </w:p>
    <w:p>
      <w:pPr>
        <w:pStyle w:val="FirstParagraph"/>
      </w:pPr>
      <w:r>
        <w:t xml:space="preserve">In conclusion, this Sales Report underscores that the path to market leadership in Japan Tokyo hinges on recognizing Academic Researchers not as customers, but as strategic collaborators. By embedding ourselves within their research lifecycle and respecting Tokyo’s academic culture—where trust precedes transaction—we have positioned our company for sustained growth in one of Asia’s most prestigious research hubs. The metrics prove that when sales strategy centers on the Academic Researcher’s needs within Japan Tokyo, success becomes inevitable.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Engagement Strategy in Japan Tokyo</dc:title>
  <dc:creator/>
  <dc:language>en</dc:language>
  <cp:keywords/>
  <dcterms:created xsi:type="dcterms:W3CDTF">2026-07-24T04:51:11Z</dcterms:created>
  <dcterms:modified xsi:type="dcterms:W3CDTF">2026-07-24T04:51:11Z</dcterms:modified>
</cp:coreProperties>
</file>

<file path=docProps/custom.xml><?xml version="1.0" encoding="utf-8"?>
<Properties xmlns="http://schemas.openxmlformats.org/officeDocument/2006/custom-properties" xmlns:vt="http://schemas.openxmlformats.org/officeDocument/2006/docPropsVTypes"/>
</file>