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Kazakhstan</w:t>
      </w:r>
      <w:r>
        <w:t xml:space="preserve"> </w:t>
      </w:r>
      <w:r>
        <w:t xml:space="preserve">Almaty</w:t>
      </w:r>
    </w:p>
    <w:bookmarkStart w:id="28" w:name="X0291c4c317bbd097626ec9c3f3e37d8de9c0092"/>
    <w:p>
      <w:pPr>
        <w:pStyle w:val="Heading1"/>
      </w:pPr>
      <w:r>
        <w:t xml:space="preserve">Sales Report: Academic Researcher Performance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Academic Researcher team operating within Kazakhstan's premier academic hub, Almaty. The report demonstrates how strategic research expertise directly drives revenue growth through specialized data services and institutional partnerships. In Q3 2023, the Almaty-based Academic Researcher division achieved a 142% year-over-year sales increase, securing $875,000 in new contracts across eight major universities and research institutes. This performance underscores Kazakhstan's rapidly evolving academic market where evidence-based consulting has become essential for institutional accreditation and grant acquisition. Our success in Almaty positions us as the leading research services provider for Central Asian academia.</w:t>
      </w:r>
    </w:p>
    <w:bookmarkEnd w:id="20"/>
    <w:bookmarkStart w:id="21" w:name="Xfcd9adee2f115ed248f1d278b7b3d01974a1fa9"/>
    <w:p>
      <w:pPr>
        <w:pStyle w:val="Heading2"/>
      </w:pPr>
      <w:r>
        <w:t xml:space="preserve">II. Market Context: Academic Research Landscape in Kazakhstan Almaty</w:t>
      </w:r>
    </w:p>
    <w:p>
      <w:pPr>
        <w:pStyle w:val="FirstParagraph"/>
      </w:pPr>
      <w:r>
        <w:t xml:space="preserve">Almaty remains Kazakhstan's undisputed academic capital, hosting 47% of the country's higher education institutions including KIMEP University, Nazarbayev University, and the Institute of Mathematics and Mechanics. The government's "Academic Excellence Program" has increased research funding by 215% since 2020, creating unprecedented demand for specialized research services. Our Academic Researcher team strategically aligned with this market shift by developing Kazakhstan-specific data models that address local regulatory requirements (e.g., Ministry of Education Standard #147-PP). Unlike generic vendors, our Almaty-based researchers understand the nuances of Kazakh academic culture, language barriers in research documentation, and regional grant application protocols.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$875,000 (Q3 2023) vs $361,000 (Q3 2022). This growth is directly attributable to the Academic Researcher's ability to secure contracts requiring deep contextual knowledge of Kazakh academic systems.</w:t>
      </w:r>
    </w:p>
    <w:p>
      <w:pPr>
        <w:pStyle w:val="BodyText"/>
      </w:pPr>
      <w:r>
        <w:rPr>
          <w:bCs/>
          <w:b/>
        </w:rPr>
        <w:t xml:space="preserve">Key Accounts Secured:</w:t>
      </w:r>
    </w:p>
    <w:p>
      <w:pPr>
        <w:numPr>
          <w:ilvl w:val="0"/>
          <w:numId w:val="1001"/>
        </w:numPr>
        <w:pStyle w:val="Compact"/>
      </w:pPr>
      <w:r>
        <w:t xml:space="preserve">Nazarbayev University: $320,000 contract for grant-writing support in STEM fields (first major university partnership secured by Academic Researcher)</w:t>
      </w:r>
    </w:p>
    <w:p>
      <w:pPr>
        <w:numPr>
          <w:ilvl w:val="0"/>
          <w:numId w:val="1001"/>
        </w:numPr>
        <w:pStyle w:val="Compact"/>
      </w:pPr>
      <w:r>
        <w:t xml:space="preserve">Kazakh National University: $195,000 agreement for institutional research data benchmarking against OECD standards</w:t>
      </w:r>
    </w:p>
    <w:p>
      <w:pPr>
        <w:numPr>
          <w:ilvl w:val="0"/>
          <w:numId w:val="1001"/>
        </w:numPr>
        <w:pStyle w:val="Compact"/>
      </w:pPr>
      <w:r>
        <w:t xml:space="preserve">Almaty Institute of Physics and Technology: $168,000 contract for AI-driven academic analytics platform implementation</w:t>
      </w:r>
    </w:p>
    <w:p>
      <w:pPr>
        <w:numPr>
          <w:ilvl w:val="0"/>
          <w:numId w:val="1001"/>
        </w:numPr>
        <w:pStyle w:val="Compact"/>
      </w:pPr>
      <w:r>
        <w:t xml:space="preserve">Four regional universities in Eastern Kazakhstan (including Shymkent): $192,000 for research methodology training programs</w:t>
      </w:r>
    </w:p>
    <w:p>
      <w:pPr>
        <w:pStyle w:val="FirstParagraph"/>
      </w:pPr>
      <w:r>
        <w:rPr>
          <w:bCs/>
          <w:b/>
        </w:rPr>
        <w:t xml:space="preserve">Sales Conversion Rate:</w:t>
      </w:r>
      <w:r>
        <w:t xml:space="preserve"> </w:t>
      </w:r>
      <w:r>
        <w:t xml:space="preserve">68% (vs industry average of 42%) – our Academic Researcher's localized approach reduced client acquisition time by 37% through culturally attuned demonstrations.</w:t>
      </w:r>
    </w:p>
    <w:bookmarkEnd w:id="22"/>
    <w:bookmarkStart w:id="23" w:name="X57e88434683983919ce0162c9a7b5b338921bcb"/>
    <w:p>
      <w:pPr>
        <w:pStyle w:val="Heading2"/>
      </w:pPr>
      <w:r>
        <w:t xml:space="preserve">IV. Strategic Differentiation: Why Our Academic Researcher Model Succeeds in Almaty</w:t>
      </w:r>
    </w:p>
    <w:p>
      <w:pPr>
        <w:pStyle w:val="FirstParagraph"/>
      </w:pPr>
      <w:r>
        <w:t xml:space="preserve">The success of our Sales Report hinges on the unique value proposition of Kazakhstan-based Academic Researchers who operate as both consultants and cultural liaisons:</w:t>
      </w:r>
    </w:p>
    <w:p>
      <w:pPr>
        <w:numPr>
          <w:ilvl w:val="0"/>
          <w:numId w:val="1002"/>
        </w:numPr>
        <w:pStyle w:val="Compact"/>
      </w:pPr>
      <w:r>
        <w:rPr>
          <w:bCs/>
          <w:b/>
        </w:rPr>
        <w:t xml:space="preserve">Language &amp; Cultural Integration:</w:t>
      </w:r>
      <w:r>
        <w:t xml:space="preserve"> </w:t>
      </w:r>
      <w:r>
        <w:t xml:space="preserve">All researchers are fluent in Kazakh, Russian, and English. This enables seamless communication during faculty meetings (often conducted in Kazakh) and eliminates mistranslation errors that plagued previous vendors.</w:t>
      </w:r>
    </w:p>
    <w:p>
      <w:pPr>
        <w:numPr>
          <w:ilvl w:val="0"/>
          <w:numId w:val="1002"/>
        </w:numPr>
        <w:pStyle w:val="Compact"/>
      </w:pPr>
      <w:r>
        <w:rPr>
          <w:bCs/>
          <w:b/>
        </w:rPr>
        <w:t xml:space="preserve">Regulatory Expertise:</w:t>
      </w:r>
      <w:r>
        <w:t xml:space="preserve"> </w:t>
      </w:r>
      <w:r>
        <w:t xml:space="preserve">Our team maintains real-time knowledge of Kazakhstan's evolving academic regulations. For instance, when the Ministry of Education revised "Research Ethics Guidelines" in August 2023, our Academic Researcher immediately updated service protocols to ensure client compliance.</w:t>
      </w:r>
    </w:p>
    <w:p>
      <w:pPr>
        <w:numPr>
          <w:ilvl w:val="0"/>
          <w:numId w:val="1002"/>
        </w:numPr>
        <w:pStyle w:val="Compact"/>
      </w:pPr>
      <w:r>
        <w:rPr>
          <w:bCs/>
          <w:b/>
        </w:rPr>
        <w:t xml:space="preserve">Local Network Development:</w:t>
      </w:r>
      <w:r>
        <w:t xml:space="preserve"> </w:t>
      </w:r>
      <w:r>
        <w:t xml:space="preserve">The Almaty office has cultivated relationships with key decision-makers at the National Academy of Sciences and Kazakhstani Association of Universities, enabling exclusive access to tender opportunities.</w:t>
      </w:r>
    </w:p>
    <w:p>
      <w:pPr>
        <w:numPr>
          <w:ilvl w:val="0"/>
          <w:numId w:val="1002"/>
        </w:numPr>
        <w:pStyle w:val="Compact"/>
      </w:pPr>
      <w:r>
        <w:rPr>
          <w:bCs/>
          <w:b/>
        </w:rPr>
        <w:t xml:space="preserve">Customized Solutions:</w:t>
      </w:r>
      <w:r>
        <w:t xml:space="preserve"> </w:t>
      </w:r>
      <w:r>
        <w:t xml:space="preserve">Instead of generic templates, our Academic Researcher creates region-specific research frameworks (e.g., "Kazakhstan Energy Sector Impact Assessment Model" for university partnerships).</w:t>
      </w:r>
    </w:p>
    <w:bookmarkEnd w:id="23"/>
    <w:bookmarkStart w:id="24" w:name="Xe2cb7ec06d410053f9f78c3ed153de134a6ada9"/>
    <w:p>
      <w:pPr>
        <w:pStyle w:val="Heading2"/>
      </w:pPr>
      <w:r>
        <w:t xml:space="preserve">V. Case Study: Nazarbayev University Partnership</w:t>
      </w:r>
    </w:p>
    <w:p>
      <w:pPr>
        <w:pStyle w:val="FirstParagraph"/>
      </w:pPr>
      <w:r>
        <w:t xml:space="preserve">This $320,000 contract exemplifies our Academic Researcher's market impact. The university sought assistance with a $5M EU grant application requiring data on regional STEM talent pipelines. Our Almaty-based Academic Researcher:</w:t>
      </w:r>
    </w:p>
    <w:p>
      <w:pPr>
        <w:numPr>
          <w:ilvl w:val="0"/>
          <w:numId w:val="1003"/>
        </w:numPr>
        <w:pStyle w:val="Compact"/>
      </w:pPr>
      <w:r>
        <w:t xml:space="preserve">Conducted field interviews across 12 Kazakhstani technical universities (in Kazakh)</w:t>
      </w:r>
    </w:p>
    <w:p>
      <w:pPr>
        <w:numPr>
          <w:ilvl w:val="0"/>
          <w:numId w:val="1003"/>
        </w:numPr>
        <w:pStyle w:val="Compact"/>
      </w:pPr>
      <w:r>
        <w:t xml:space="preserve">Developed a customized dataset mapping student-to-researcher transition rates unique to Kazakhstan</w:t>
      </w:r>
    </w:p>
    <w:p>
      <w:pPr>
        <w:numPr>
          <w:ilvl w:val="0"/>
          <w:numId w:val="1003"/>
        </w:numPr>
        <w:pStyle w:val="Compact"/>
      </w:pPr>
      <w:r>
        <w:t xml:space="preserve">Prepared the grant narrative incorporating local academic success metrics recognized by the Ministry of Education</w:t>
      </w:r>
    </w:p>
    <w:p>
      <w:pPr>
        <w:pStyle w:val="FirstParagraph"/>
      </w:pPr>
      <w:r>
        <w:t xml:space="preserve">The project secured 98% of requested funding – exceeding the university's target by 12%. This client has now referred three additional institutions to our services, demonstrating how Academic Researcher excellence drives organic growth in Kazakhstan Almaty's academic ecosystem.</w:t>
      </w:r>
    </w:p>
    <w:bookmarkEnd w:id="24"/>
    <w:bookmarkStart w:id="25" w:name="vi.-challenges-strategic-response"/>
    <w:p>
      <w:pPr>
        <w:pStyle w:val="Heading2"/>
      </w:pPr>
      <w:r>
        <w:t xml:space="preserve">VI. Challenges &amp; Strategic Response</w:t>
      </w:r>
    </w:p>
    <w:p>
      <w:pPr>
        <w:pStyle w:val="FirstParagraph"/>
      </w:pPr>
      <w:r>
        <w:t xml:space="preserve">We identified two primary challenges during Q3:</w:t>
      </w:r>
    </w:p>
    <w:p>
      <w:pPr>
        <w:numPr>
          <w:ilvl w:val="0"/>
          <w:numId w:val="1004"/>
        </w:numPr>
        <w:pStyle w:val="Compact"/>
      </w:pPr>
      <w:r>
        <w:rPr>
          <w:bCs/>
          <w:b/>
        </w:rPr>
        <w:t xml:space="preserve">Competition from Local Firms:</w:t>
      </w:r>
      <w:r>
        <w:t xml:space="preserve"> </w:t>
      </w:r>
      <w:r>
        <w:t xml:space="preserve">Some Kazakhstani research consultancies attempted to undercut our pricing. Our Academic Researcher countered by emphasizing value (not cost) through demonstrable ROI: "Our services directly increase grant success rates by 34% per client data," resulting in higher retention.</w:t>
      </w:r>
    </w:p>
    <w:p>
      <w:pPr>
        <w:numPr>
          <w:ilvl w:val="0"/>
          <w:numId w:val="1004"/>
        </w:numPr>
        <w:pStyle w:val="Compact"/>
      </w:pPr>
      <w:r>
        <w:rPr>
          <w:bCs/>
          <w:b/>
        </w:rPr>
        <w:t xml:space="preserve">Seasonal Demand Fluctuations:</w:t>
      </w:r>
      <w:r>
        <w:t xml:space="preserve"> </w:t>
      </w:r>
      <w:r>
        <w:t xml:space="preserve">Academic budget cycles peak during Q1 (January-February). Our Academic Researcher developed a pre-Q1 pipeline system, securing 57% of Q4 contracts by September. This strategic planning eliminated revenue dips observed in previous years.</w:t>
      </w:r>
    </w:p>
    <w:bookmarkEnd w:id="25"/>
    <w:bookmarkStart w:id="26" w:name="Xe60e1c0c44e9ea4c832a3aaaaad9c9e404a5a94"/>
    <w:p>
      <w:pPr>
        <w:pStyle w:val="Heading2"/>
      </w:pPr>
      <w:r>
        <w:t xml:space="preserve">VII. Future Outlook: Scaling the Academic Researcher Model in Kazakhstan Almaty</w:t>
      </w:r>
    </w:p>
    <w:p>
      <w:pPr>
        <w:pStyle w:val="FirstParagraph"/>
      </w:pPr>
      <w:r>
        <w:t xml:space="preserve">Based on Q3 results, we project 185% year-over-year growth for 2024 with these strategic initiatives:</w:t>
      </w:r>
    </w:p>
    <w:p>
      <w:pPr>
        <w:numPr>
          <w:ilvl w:val="0"/>
          <w:numId w:val="1005"/>
        </w:numPr>
        <w:pStyle w:val="Compact"/>
      </w:pPr>
      <w:r>
        <w:rPr>
          <w:bCs/>
          <w:b/>
        </w:rPr>
        <w:t xml:space="preserve">Expansion into New Academic Sectors:</w:t>
      </w:r>
      <w:r>
        <w:t xml:space="preserve"> </w:t>
      </w:r>
      <w:r>
        <w:t xml:space="preserve">Targeting veterinary medicine (Nursultan National University) and agricultural research (Almaty Institute of Agriculture)</w:t>
      </w:r>
    </w:p>
    <w:p>
      <w:pPr>
        <w:numPr>
          <w:ilvl w:val="0"/>
          <w:numId w:val="1005"/>
        </w:numPr>
        <w:pStyle w:val="Compact"/>
      </w:pPr>
      <w:r>
        <w:rPr>
          <w:bCs/>
          <w:b/>
        </w:rPr>
        <w:t xml:space="preserve">Digital Platform Integration:</w:t>
      </w:r>
      <w:r>
        <w:t xml:space="preserve"> </w:t>
      </w:r>
      <w:r>
        <w:t xml:space="preserve">Launching a Kazakhstan-specific research analytics portal co-developed by our Almaty Academic Researcher team</w:t>
      </w:r>
    </w:p>
    <w:p>
      <w:pPr>
        <w:numPr>
          <w:ilvl w:val="0"/>
          <w:numId w:val="1005"/>
        </w:numPr>
        <w:pStyle w:val="Compact"/>
      </w:pPr>
      <w:r>
        <w:rPr>
          <w:bCs/>
          <w:b/>
        </w:rPr>
        <w:t xml:space="preserve">Government Partnership Program:</w:t>
      </w:r>
      <w:r>
        <w:t xml:space="preserve"> </w:t>
      </w:r>
      <w:r>
        <w:t xml:space="preserve">Formalizing collaboration with the Ministry of Education for standardized research services across all public universities</w:t>
      </w:r>
    </w:p>
    <w:p>
      <w:pPr>
        <w:pStyle w:val="FirstParagraph"/>
      </w:pPr>
      <w:r>
        <w:t xml:space="preserve">The $875,000 Q3 revenue validates our investment in Kazakhstan Almaty's academic market. Crucially, this success is not merely transactional – it's built on our Academic Researcher's deep engagement with local academia. As one Nazarbayev University administrator noted: "Your researcher doesn't just sell services; they understand how we operate." This cultural integration is the core differentiator that makes our Sales Report exceptional in the Kazakhstan Almaty market.</w:t>
      </w:r>
    </w:p>
    <w:bookmarkEnd w:id="26"/>
    <w:bookmarkStart w:id="27" w:name="viii.-conclusion"/>
    <w:p>
      <w:pPr>
        <w:pStyle w:val="Heading2"/>
      </w:pPr>
      <w:r>
        <w:t xml:space="preserve">VIII. Conclusion</w:t>
      </w:r>
    </w:p>
    <w:p>
      <w:pPr>
        <w:pStyle w:val="FirstParagraph"/>
      </w:pPr>
      <w:r>
        <w:t xml:space="preserve">The Academic Researcher model has proven to be the optimal sales strategy for penetrating Kazakhstan's academic sector. Our Almaty office achieved remarkable results by embedding research expertise within sales operations – transforming traditional vendor-client relationships into collaborative partnerships. As Kazakhstan accelerates its academic modernization under "Digital Kazakhstan 2025," our Academic Researcher team is positioned to become the indispensable partner for every institution seeking global recognition and funding success. This Sales Report confirms that in Almaty, where academic excellence drives national development, research expertise directly equals revenue growth.</w:t>
      </w:r>
    </w:p>
    <w:p>
      <w:pPr>
        <w:pStyle w:val="BodyText"/>
      </w:pPr>
      <w:r>
        <w:rPr>
          <w:bCs/>
          <w:b/>
        </w:rPr>
        <w:t xml:space="preserve">Prepared By:</w:t>
      </w:r>
      <w:r>
        <w:t xml:space="preserve"> </w:t>
      </w:r>
      <w:r>
        <w:t xml:space="preserve">Central Asia Sales Strategy Group</w:t>
      </w:r>
      <w:r>
        <w:br/>
      </w:r>
      <w:r>
        <w:rPr>
          <w:bCs/>
          <w:b/>
        </w:rPr>
        <w:t xml:space="preserve">Contact:</w:t>
      </w:r>
      <w:r>
        <w:t xml:space="preserve"> </w:t>
      </w:r>
      <w:r>
        <w:t xml:space="preserve">sales.kz@researchsolutions.com | +7 (727) 555-1983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Kazakhstan Almaty</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