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Performance</w:t>
      </w:r>
      <w:r>
        <w:t xml:space="preserve"> </w:t>
      </w:r>
      <w:r>
        <w:t xml:space="preserve">Report:</w:t>
      </w:r>
      <w:r>
        <w:t xml:space="preserve"> </w:t>
      </w:r>
      <w:r>
        <w:t xml:space="preserve">Kenya</w:t>
      </w:r>
      <w:r>
        <w:t xml:space="preserve"> </w:t>
      </w:r>
      <w:r>
        <w:t xml:space="preserve">Nairobi</w:t>
      </w:r>
    </w:p>
    <w:bookmarkStart w:id="28" w:name="X363edf2906e81611a7ac8621eb8526d67ccc6a1"/>
    <w:p>
      <w:pPr>
        <w:pStyle w:val="Heading1"/>
      </w:pPr>
      <w:r>
        <w:t xml:space="preserve">Academic Researcher Sales Performance Report</w:t>
      </w:r>
    </w:p>
    <w:bookmarkStart w:id="27" w:name="X4728f347b5a173e9fbefe923ad87e5c36aa0fc4"/>
    <w:p>
      <w:pPr>
        <w:pStyle w:val="Heading2"/>
      </w:pPr>
      <w:r>
        <w:t xml:space="preserve">Q3 2024 Performance Analysis for Nairobi-Based Research Services</w:t>
      </w:r>
    </w:p>
    <w:p>
      <w:pPr>
        <w:pStyle w:val="FirstParagraph"/>
      </w:pPr>
      <w:r>
        <w:t xml:space="preserve">Prepared for Institutional Leadership • Date: October 15, 2024 • Report Period: July 1 - September 30, 2024</w:t>
      </w:r>
    </w:p>
    <w:bookmarkStart w:id="20" w:name="executive-summary"/>
    <w:p>
      <w:pPr>
        <w:pStyle w:val="Heading3"/>
      </w:pPr>
      <w:r>
        <w:t xml:space="preserve">Executive Summary</w:t>
      </w:r>
    </w:p>
    <w:p>
      <w:pPr>
        <w:pStyle w:val="FirstParagraph"/>
      </w:pPr>
      <w:r>
        <w:t xml:space="preserve">This comprehensive Sales Report details the performance of our Academic Researcher team operating within Kenya Nairobi. The third quarter demonstrated remarkable growth in research service sales across key sectors including public health, agricultural innovation, and sustainable development. Our Nairobi-based Academic Researchers secured 17 new contracts valued at KES 8.2 million (approx. USD 62,500), exceeding Q3 targets by 23%. This achievement underscores the strategic importance of localized research expertise in Kenya's academic ecosystem.</w:t>
      </w:r>
    </w:p>
    <w:bookmarkEnd w:id="20"/>
    <w:bookmarkStart w:id="21" w:name="X9b2d990d66848d6e60f00a08ae4d635fd74287c"/>
    <w:p>
      <w:pPr>
        <w:pStyle w:val="Heading3"/>
      </w:pPr>
      <w:r>
        <w:t xml:space="preserve">Market Context: Academic Researcher Landscape in Nairobi</w:t>
      </w:r>
    </w:p>
    <w:p>
      <w:pPr>
        <w:pStyle w:val="FirstParagraph"/>
      </w:pPr>
      <w:r>
        <w:t xml:space="preserve">Nairobi serves as Kenya's intellectual capital, home to 14 universities and 27 research institutions. The demand for specialized Academic Researcher services has surged due to:</w:t>
      </w:r>
    </w:p>
    <w:p>
      <w:pPr>
        <w:numPr>
          <w:ilvl w:val="0"/>
          <w:numId w:val="1001"/>
        </w:numPr>
        <w:pStyle w:val="Compact"/>
      </w:pPr>
      <w:r>
        <w:t xml:space="preserve">Increased international funding requiring locally embedded researchers (e.g., USAID, WHO projects)</w:t>
      </w:r>
    </w:p>
    <w:p>
      <w:pPr>
        <w:numPr>
          <w:ilvl w:val="0"/>
          <w:numId w:val="1001"/>
        </w:numPr>
        <w:pStyle w:val="Compact"/>
      </w:pPr>
      <w:r>
        <w:t xml:space="preserve">Government initiatives like Kenya Vision 2030 prioritizing evidence-based policy</w:t>
      </w:r>
    </w:p>
    <w:p>
      <w:pPr>
        <w:numPr>
          <w:ilvl w:val="0"/>
          <w:numId w:val="1001"/>
        </w:numPr>
        <w:pStyle w:val="Compact"/>
      </w:pPr>
      <w:r>
        <w:t xml:space="preserve">Rising local demand for data-driven solutions in agribusiness and healthcare</w:t>
      </w:r>
    </w:p>
    <w:p>
      <w:pPr>
        <w:pStyle w:val="FirstParagraph"/>
      </w:pPr>
      <w:r>
        <w:t xml:space="preserve">Our Sales Report confirms that Nairobi-based Academic Researchers hold a distinct competitive edge due to their cultural fluency, institutional relationships, and understanding of Kenyan regulatory frameworks – factors that directly impact sales conversion rates.</w:t>
      </w:r>
    </w:p>
    <w:bookmarkEnd w:id="21"/>
    <w:bookmarkStart w:id="22" w:name="q3-sales-performance-highlights"/>
    <w:p>
      <w:pPr>
        <w:pStyle w:val="Heading3"/>
      </w:pPr>
      <w:r>
        <w:t xml:space="preserve">Q3 Sales Performance Highlights</w:t>
      </w:r>
    </w:p>
    <w:p>
      <w:pPr>
        <w:pStyle w:val="FirstParagraph"/>
      </w:pPr>
      <w:r>
        <w:t xml:space="preserve">Client Type</w:t>
      </w:r>
    </w:p>
    <w:p>
      <w:pPr>
        <w:pStyle w:val="BodyText"/>
      </w:pPr>
      <w:r>
        <w:t xml:space="preserve">Project Value (KES)</w:t>
      </w:r>
    </w:p>
    <w:p>
      <w:pPr>
        <w:pStyle w:val="BodyText"/>
      </w:pPr>
      <w:r>
        <w:t xml:space="preserve">Research Focus</w:t>
      </w:r>
    </w:p>
    <w:p>
      <w:pPr>
        <w:pStyle w:val="BodyText"/>
      </w:pPr>
      <w:r>
        <w:t xml:space="preserve">% Above Target</w:t>
      </w:r>
    </w:p>
    <w:p>
      <w:pPr>
        <w:pStyle w:val="BodyText"/>
      </w:pPr>
      <w:r>
        <w:t xml:space="preserve">International NGOs (e.g., CARE, Oxfam)</w:t>
      </w:r>
    </w:p>
    <w:p>
      <w:pPr>
        <w:pStyle w:val="BodyText"/>
      </w:pPr>
      <w:r>
        <w:t xml:space="preserve">3,200,000</w:t>
      </w:r>
    </w:p>
    <w:p>
      <w:pPr>
        <w:pStyle w:val="BodyText"/>
      </w:pPr>
      <w:r>
        <w:t xml:space="preserve">Gender-inclusive Agricultural Extension Models</w:t>
      </w:r>
    </w:p>
    <w:p>
      <w:pPr>
        <w:pStyle w:val="BodyText"/>
      </w:pPr>
      <w:r>
        <w:t xml:space="preserve">+35%</w:t>
      </w:r>
    </w:p>
    <w:p>
      <w:pPr>
        <w:pStyle w:val="BodyText"/>
      </w:pPr>
      <w:r>
        <w:t xml:space="preserve">National Government Agencies (e.g., KEBS, NACOSTI)</w:t>
      </w:r>
    </w:p>
    <w:p>
      <w:pPr>
        <w:pStyle w:val="BodyText"/>
      </w:pPr>
      <w:r>
        <w:t xml:space="preserve">2,800,000</w:t>
      </w:r>
    </w:p>
    <w:p>
      <w:pPr>
        <w:pStyle w:val="BodyText"/>
      </w:pPr>
      <w:r>
        <w:t xml:space="preserve">Climate Resilient Crop Varieties Assessment</w:t>
      </w:r>
    </w:p>
    <w:p>
      <w:pPr>
        <w:pStyle w:val="BodyText"/>
      </w:pPr>
      <w:r>
        <w:t xml:space="preserve">+18%</w:t>
      </w:r>
    </w:p>
    <w:p>
      <w:pPr>
        <w:pStyle w:val="BodyText"/>
      </w:pPr>
      <w:r>
        <w:t xml:space="preserve">Private Sector Partners (e.g., Syngenta, Safaricom)</w:t>
      </w:r>
    </w:p>
    <w:p>
      <w:pPr>
        <w:pStyle w:val="BodyText"/>
      </w:pPr>
      <w:r>
        <w:t xml:space="preserve">2,200,000</w:t>
      </w:r>
    </w:p>
    <w:p>
      <w:pPr>
        <w:pStyle w:val="BodyText"/>
      </w:pPr>
      <w:r>
        <w:t xml:space="preserve">Digital Health Adoption in Rural Kenya</w:t>
      </w:r>
    </w:p>
    <w:p>
      <w:pPr>
        <w:pStyle w:val="BodyText"/>
      </w:pPr>
      <w:r>
        <w:t xml:space="preserve">+41%</w:t>
      </w:r>
    </w:p>
    <w:p>
      <w:pPr>
        <w:pStyle w:val="BodyText"/>
      </w:pPr>
      <w:r>
        <w:rPr>
          <w:bCs/>
          <w:b/>
        </w:rPr>
        <w:t xml:space="preserve">Total</w:t>
      </w:r>
    </w:p>
    <w:p>
      <w:pPr>
        <w:pStyle w:val="BodyText"/>
      </w:pPr>
      <w:r>
        <w:rPr>
          <w:bCs/>
          <w:b/>
        </w:rPr>
        <w:t xml:space="preserve">8,200,000</w:t>
      </w:r>
    </w:p>
    <w:p>
      <w:pPr>
        <w:pStyle w:val="BodyText"/>
      </w:pPr>
      <w:r>
        <w:rPr>
          <w:iCs/>
          <w:i/>
        </w:rPr>
        <w:t xml:space="preserve">17 Projects</w:t>
      </w:r>
    </w:p>
    <w:p>
      <w:pPr>
        <w:pStyle w:val="BodyText"/>
      </w:pPr>
      <w:r>
        <w:rPr>
          <w:bCs/>
          <w:b/>
        </w:rPr>
        <w:t xml:space="preserve">+23% YoY Growth</w:t>
      </w:r>
    </w:p>
    <w:bookmarkEnd w:id="22"/>
    <w:bookmarkStart w:id="23" w:name="key-success-factors-in-nairobi-market"/>
    <w:p>
      <w:pPr>
        <w:pStyle w:val="Heading3"/>
      </w:pPr>
      <w:r>
        <w:t xml:space="preserve">Key Success Factors in Nairobi Market</w:t>
      </w:r>
    </w:p>
    <w:p>
      <w:pPr>
        <w:pStyle w:val="FirstParagraph"/>
      </w:pPr>
      <w:r>
        <w:t xml:space="preserve">Our Academic Researcher team's success in Kenya Nairobi stems from three strategic differentiators:</w:t>
      </w:r>
    </w:p>
    <w:p>
      <w:pPr>
        <w:numPr>
          <w:ilvl w:val="0"/>
          <w:numId w:val="1002"/>
        </w:numPr>
        <w:pStyle w:val="Compact"/>
      </w:pPr>
      <w:r>
        <w:rPr>
          <w:bCs/>
          <w:b/>
        </w:rPr>
        <w:t xml:space="preserve">Cultural Intelligence:</w:t>
      </w:r>
      <w:r>
        <w:t xml:space="preserve"> </w:t>
      </w:r>
      <w:r>
        <w:t xml:space="preserve">Local researchers navigate Kenyan field dynamics effectively. For example, our Agricultural Researcher secured a KES 1.8M project with Nakuru County by adapting methodologies to local dialects and community protocols – a critical factor absent in foreign consultant proposals.</w:t>
      </w:r>
    </w:p>
    <w:p>
      <w:pPr>
        <w:numPr>
          <w:ilvl w:val="0"/>
          <w:numId w:val="1002"/>
        </w:numPr>
        <w:pStyle w:val="Compact"/>
      </w:pPr>
      <w:r>
        <w:rPr>
          <w:bCs/>
          <w:b/>
        </w:rPr>
        <w:t xml:space="preserve">Institutional Trust:</w:t>
      </w:r>
      <w:r>
        <w:t xml:space="preserve"> </w:t>
      </w:r>
      <w:r>
        <w:t xml:space="preserve">The Nairobi campus partnerships with University of Nairobi and Jomo Kenyatta University accelerated sales. Our Academic Researcher network provided immediate access to field sites, reducing client onboarding time by 40%.</w:t>
      </w:r>
    </w:p>
    <w:p>
      <w:pPr>
        <w:numPr>
          <w:ilvl w:val="0"/>
          <w:numId w:val="1002"/>
        </w:numPr>
        <w:pStyle w:val="Compact"/>
      </w:pPr>
      <w:r>
        <w:rPr>
          <w:bCs/>
          <w:b/>
        </w:rPr>
        <w:t xml:space="preserve">Grant Writing Expertise:</w:t>
      </w:r>
      <w:r>
        <w:t xml:space="preserve"> </w:t>
      </w:r>
      <w:r>
        <w:t xml:space="preserve">Localized proposal development aligned with Kenya National Research Fund (KNRF) priorities contributed to a 68% success rate in grant applications – significantly above the national average of 42%.</w:t>
      </w:r>
    </w:p>
    <w:bookmarkEnd w:id="23"/>
    <w:bookmarkStart w:id="24" w:name="challenges-and-strategic-response"/>
    <w:p>
      <w:pPr>
        <w:pStyle w:val="Heading3"/>
      </w:pPr>
      <w:r>
        <w:t xml:space="preserve">Challenges and Strategic Response</w:t>
      </w:r>
    </w:p>
    <w:p>
      <w:pPr>
        <w:pStyle w:val="FirstParagraph"/>
      </w:pPr>
      <w:r>
        <w:t xml:space="preserve">Despite strong results, our Sales Report identifies two critical challenges unique to Kenya Nairobi:</w:t>
      </w:r>
    </w:p>
    <w:p>
      <w:pPr>
        <w:numPr>
          <w:ilvl w:val="0"/>
          <w:numId w:val="1003"/>
        </w:numPr>
        <w:pStyle w:val="Compact"/>
      </w:pPr>
      <w:r>
        <w:rPr>
          <w:bCs/>
          <w:b/>
        </w:rPr>
        <w:t xml:space="preserve">Infrastructure Constraints:</w:t>
      </w:r>
      <w:r>
        <w:t xml:space="preserve"> </w:t>
      </w:r>
      <w:r>
        <w:t xml:space="preserve">Power outages in peri-urban research sites delayed data collection for three projects. Solution: Our Nairobi team developed solar-powered data loggers, positioning us as innovative problem-solvers and securing two follow-on contracts.</w:t>
      </w:r>
    </w:p>
    <w:p>
      <w:pPr>
        <w:numPr>
          <w:ilvl w:val="0"/>
          <w:numId w:val="1003"/>
        </w:numPr>
        <w:pStyle w:val="Compact"/>
      </w:pPr>
      <w:r>
        <w:rPr>
          <w:bCs/>
          <w:b/>
        </w:rPr>
        <w:t xml:space="preserve">Funding Fluctuation:</w:t>
      </w:r>
      <w:r>
        <w:t xml:space="preserve"> </w:t>
      </w:r>
      <w:r>
        <w:t xml:space="preserve">Government budget delays impacted Q3 pipeline. Countermeasure: We implemented a "Quarterly Research Package" model with flexible payment terms, attracting 5 new clients seeking financial stability.</w:t>
      </w:r>
    </w:p>
    <w:p>
      <w:pPr>
        <w:pStyle w:val="FirstParagraph"/>
      </w:pPr>
      <w:r>
        <w:t xml:space="preserve">The Academic Researcher team's adaptability in navigating Nairobi's operational landscape directly influenced these strategic pivots, demonstrating how local presence drives sales resilience.</w:t>
      </w:r>
    </w:p>
    <w:bookmarkEnd w:id="24"/>
    <w:bookmarkStart w:id="25" w:name="future-growth-strategy-for-kenya-nairobi"/>
    <w:p>
      <w:pPr>
        <w:pStyle w:val="Heading3"/>
      </w:pPr>
      <w:r>
        <w:t xml:space="preserve">Future Growth Strategy for Kenya Nairobi</w:t>
      </w:r>
    </w:p>
    <w:p>
      <w:pPr>
        <w:pStyle w:val="FirstParagraph"/>
      </w:pPr>
      <w:r>
        <w:t xml:space="preserve">Building on Q3 success, our 2024-2025 strategy focuses on three pillars:</w:t>
      </w:r>
    </w:p>
    <w:p>
      <w:pPr>
        <w:numPr>
          <w:ilvl w:val="0"/>
          <w:numId w:val="1004"/>
        </w:numPr>
        <w:pStyle w:val="Compact"/>
      </w:pPr>
      <w:r>
        <w:rPr>
          <w:bCs/>
          <w:b/>
        </w:rPr>
        <w:t xml:space="preserve">Nairobi Research Hub Expansion:</w:t>
      </w:r>
      <w:r>
        <w:t xml:space="preserve"> </w:t>
      </w:r>
      <w:r>
        <w:t xml:space="preserve">Establishing a dedicated field office in Kibera to serve underserved communities, targeting KES 15M in new contracts by Q2 2025. This positions us as the Academic Researcher leader for urban poverty research – a priority for Nairobi City County's development agenda.</w:t>
      </w:r>
    </w:p>
    <w:p>
      <w:pPr>
        <w:numPr>
          <w:ilvl w:val="0"/>
          <w:numId w:val="1004"/>
        </w:numPr>
        <w:pStyle w:val="Compact"/>
      </w:pPr>
      <w:r>
        <w:rPr>
          <w:bCs/>
          <w:b/>
        </w:rPr>
        <w:t xml:space="preserve">AI-Enhanced Data Analysis:</w:t>
      </w:r>
      <w:r>
        <w:t xml:space="preserve"> </w:t>
      </w:r>
      <w:r>
        <w:t xml:space="preserve">Integrating machine learning tools into our Nairobi research workflow to deliver faster insights. Early pilots with M-PESA data reduced analysis time by 30%, making our Academic Researcher services more competitive in the digital economy sector.</w:t>
      </w:r>
    </w:p>
    <w:p>
      <w:pPr>
        <w:numPr>
          <w:ilvl w:val="0"/>
          <w:numId w:val="1004"/>
        </w:numPr>
        <w:pStyle w:val="Compact"/>
      </w:pPr>
      <w:r>
        <w:rPr>
          <w:bCs/>
          <w:b/>
        </w:rPr>
        <w:t xml:space="preserve">Cross-Sector Partnerships:</w:t>
      </w:r>
      <w:r>
        <w:t xml:space="preserve"> </w:t>
      </w:r>
      <w:r>
        <w:t xml:space="preserve">Collaborating with Kenya Private Sector Alliance (KEPSA) to develop research packages for SMEs, targeting a 25% market share in business analytics by 2026. This aligns with Nairobi's status as Africa's startup capital.</w:t>
      </w:r>
    </w:p>
    <w:bookmarkEnd w:id="25"/>
    <w:bookmarkStart w:id="26" w:name="conclusion-the-nairobi-advantage"/>
    <w:p>
      <w:pPr>
        <w:pStyle w:val="Heading3"/>
      </w:pPr>
      <w:r>
        <w:t xml:space="preserve">Conclusion: The Nairobi Advantage</w:t>
      </w:r>
    </w:p>
    <w:p>
      <w:pPr>
        <w:pStyle w:val="FirstParagraph"/>
      </w:pPr>
      <w:r>
        <w:t xml:space="preserve">This Sales Report confirms that Kenya Nairobi isn't just a location for our Academic Researcher team – it's the strategic epicenter driving our growth. The 23% Q3 sales growth stems directly from leveraging local knowledge, building community trust, and adapting to Kenya's unique research ecosystem. As government and international funders increasingly prioritize locally led research in East Africa, our Nairobi-based Academic Researchers will remain central to market expansion.</w:t>
      </w:r>
    </w:p>
    <w:p>
      <w:pPr>
        <w:pStyle w:val="BodyText"/>
      </w:pPr>
      <w:r>
        <w:t xml:space="preserve">With Nairobi emerging as a hub for African innovation (per UNDP 2024 reports), this Sales Report positions our Academic Researcher services for exponential growth. We recommend doubling down on Nairobi infrastructure investment to capture 35% of Kenya's $18M annual research service market by 2026. The numbers are clear: In Kenya, success begins with a local presence.</w:t>
      </w:r>
    </w:p>
    <w:p>
      <w:pPr>
        <w:pStyle w:val="BodyText"/>
      </w:pPr>
      <w:r>
        <w:t xml:space="preserve">"Nairobi isn't just where our Academic Researchers operate – it's where they innovate. This Sales Report proves that local context is the ultimate competitive advantage in Kenya's research economy." – Dr. Amina Wanjiku, Director of Research Services</w:t>
      </w:r>
    </w:p>
    <w:p>
      <w:pPr>
        <w:pStyle w:val="BodyText"/>
      </w:pPr>
      <w:r>
        <w:rPr>
          <w:bCs/>
          <w:b/>
        </w:rPr>
        <w:t xml:space="preserve">Prepared by:</w:t>
      </w:r>
      <w:r>
        <w:t xml:space="preserve"> </w:t>
      </w:r>
      <w:r>
        <w:t xml:space="preserve">Nairobi Research Strategy Unit •</w:t>
      </w:r>
      <w:r>
        <w:t xml:space="preserve"> </w:t>
      </w:r>
      <w:r>
        <w:rPr>
          <w:bCs/>
          <w:b/>
        </w:rPr>
        <w:t xml:space="preserve">Contact:</w:t>
      </w:r>
      <w:r>
        <w:t xml:space="preserve"> </w:t>
      </w:r>
      <w:r>
        <w:t xml:space="preserve">research.nairobi@academicreports.co.ke</w:t>
      </w:r>
    </w:p>
    <w:p>
      <w:pPr>
        <w:pStyle w:val="BodyText"/>
      </w:pPr>
      <w:r>
        <w:t xml:space="preserve">This Sales Report is confidential and proprietary to Academic Researcher Services. © 2024 All rights reserved.</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Performance Report: Kenya Nairobi</dc:title>
  <dc:creator/>
  <dc:language>en</dc:language>
  <cp:keywords/>
  <dcterms:created xsi:type="dcterms:W3CDTF">2026-07-21T06:05:59Z</dcterms:created>
  <dcterms:modified xsi:type="dcterms:W3CDTF">2026-07-21T06:05:59Z</dcterms:modified>
</cp:coreProperties>
</file>

<file path=docProps/custom.xml><?xml version="1.0" encoding="utf-8"?>
<Properties xmlns="http://schemas.openxmlformats.org/officeDocument/2006/custom-properties" xmlns:vt="http://schemas.openxmlformats.org/officeDocument/2006/docPropsVTypes"/>
</file>