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Talent</w:t>
      </w:r>
      <w:r>
        <w:t xml:space="preserve"> </w:t>
      </w:r>
      <w:r>
        <w:t xml:space="preserve">Acquisition</w:t>
      </w:r>
      <w:r>
        <w:t xml:space="preserve"> </w:t>
      </w:r>
      <w:r>
        <w:t xml:space="preserve">in</w:t>
      </w:r>
      <w:r>
        <w:t xml:space="preserve"> </w:t>
      </w:r>
      <w:r>
        <w:t xml:space="preserve">Kuwait</w:t>
      </w:r>
      <w:r>
        <w:t xml:space="preserve"> </w:t>
      </w:r>
      <w:r>
        <w:t xml:space="preserve">City</w:t>
      </w:r>
    </w:p>
    <w:bookmarkStart w:id="26" w:name="X388e2ac1285cf700f8f1b967294ee84005da8f7"/>
    <w:p>
      <w:pPr>
        <w:pStyle w:val="Heading1"/>
      </w:pPr>
      <w:r>
        <w:t xml:space="preserve">Annual Sales Report: Strategic Acquisition of Academic Researcher Talent for Kuwait City Institutions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Kuwait Research &amp; Development Council (KRDC)</w:t>
      </w:r>
      <w:r>
        <w:br/>
      </w:r>
      <w:r>
        <w:rPr>
          <w:bCs/>
          <w:b/>
        </w:rPr>
        <w:t xml:space="preserve">Subject:</w:t>
      </w:r>
      <w:r>
        <w:t xml:space="preserve"> </w:t>
      </w:r>
      <w:r>
        <w:t xml:space="preserve">Market Analysis and Strategic Recommendations for Academic Researcher Recruitment in Kuwait City</w:t>
      </w:r>
    </w:p>
    <w:bookmarkStart w:id="20" w:name="i.-executive-summary"/>
    <w:p>
      <w:pPr>
        <w:pStyle w:val="Heading2"/>
      </w:pPr>
      <w:r>
        <w:t xml:space="preserve">I. Executive Summary</w:t>
      </w:r>
    </w:p>
    <w:p>
      <w:pPr>
        <w:pStyle w:val="FirstParagraph"/>
      </w:pPr>
      <w:r>
        <w:t xml:space="preserve">This comprehensive Sales Report details the strategic acquisition of highly qualified Academic Researchers within Kuwait City, highlighting critical market dynamics, institutional demand drivers, and actionable growth strategies. As Kuwait accelerates its Vision 2035 transformation towards a knowledge-based economy, the demand for elite Academic Researchers in fields like sustainable energy, healthcare innovation, and AI has surged by 42% year-over-year. This report confirms that targeted talent acquisition in Kuwait City is not merely a departmental need but a national economic imperative. The success of our research ecosystem hinges on optimizing the procurement of Academic Researcher expertise through tailored sales and recruitment strategies within Kuwait City's unique academic landscape.</w:t>
      </w:r>
    </w:p>
    <w:bookmarkEnd w:id="20"/>
    <w:bookmarkStart w:id="21" w:name="Xccf29504e7edbb33e65b5d1cbd04812e22df67a"/>
    <w:p>
      <w:pPr>
        <w:pStyle w:val="Heading2"/>
      </w:pPr>
      <w:r>
        <w:t xml:space="preserve">II. Kuwait City: The Epicenter of Academic Research Demand</w:t>
      </w:r>
    </w:p>
    <w:p>
      <w:pPr>
        <w:pStyle w:val="FirstParagraph"/>
      </w:pPr>
      <w:r>
        <w:t xml:space="preserve">Kuwait City is the undisputed hub for advanced research activity in the Gulf, hosting flagship institutions including Kuwait University (KU), the Kuwait Institute for Scientific Research (KISR), and emerging private-sector innovation centers like KAUST's regional partnerships. This concentration creates an exceptionally dense market for Academic Researcher talent. The city’s strategic location, significant government funding initiatives (e.g., National Priority Projects Fund), and commitment to international academic collaboration have solidified its position as a magnet for global research talent seeking Middle Eastern opportunities.</w:t>
      </w:r>
    </w:p>
    <w:p>
      <w:pPr>
        <w:pStyle w:val="BodyText"/>
      </w:pPr>
      <w:r>
        <w:t xml:space="preserve">Key factors driving demand in Kuwait City include:</w:t>
      </w:r>
    </w:p>
    <w:p>
      <w:pPr>
        <w:numPr>
          <w:ilvl w:val="0"/>
          <w:numId w:val="1001"/>
        </w:numPr>
        <w:pStyle w:val="Compact"/>
      </w:pPr>
      <w:r>
        <w:rPr>
          <w:bCs/>
          <w:b/>
        </w:rPr>
        <w:t xml:space="preserve">National Vision 2035 Mandate:</w:t>
      </w:r>
      <w:r>
        <w:t xml:space="preserve"> </w:t>
      </w:r>
      <w:r>
        <w:t xml:space="preserve">Government directives explicitly prioritize research commercialization and scientific innovation, necessitating continuous influx of Academic Researchers.</w:t>
      </w:r>
    </w:p>
    <w:p>
      <w:pPr>
        <w:numPr>
          <w:ilvl w:val="0"/>
          <w:numId w:val="1001"/>
        </w:numPr>
        <w:pStyle w:val="Compact"/>
      </w:pPr>
      <w:r>
        <w:rPr>
          <w:bCs/>
          <w:b/>
        </w:rPr>
        <w:t xml:space="preserve">Diversification Imperative:</w:t>
      </w:r>
      <w:r>
        <w:t xml:space="preserve"> </w:t>
      </w:r>
      <w:r>
        <w:t xml:space="preserve">Reducing oil dependency fuels investment in STEM fields, creating sustained demand for researchers in renewable energy, water security, and biotechnology within Kuwait City.</w:t>
      </w:r>
    </w:p>
    <w:p>
      <w:pPr>
        <w:numPr>
          <w:ilvl w:val="0"/>
          <w:numId w:val="1001"/>
        </w:numPr>
        <w:pStyle w:val="Compact"/>
      </w:pPr>
      <w:r>
        <w:rPr>
          <w:bCs/>
          <w:b/>
        </w:rPr>
        <w:t xml:space="preserve">International Collaboration Expansion:</w:t>
      </w:r>
      <w:r>
        <w:t xml:space="preserve"> </w:t>
      </w:r>
      <w:r>
        <w:t xml:space="preserve">Partnerships with leading universities (e.g., MIT, Oxford) and research bodies require local Academic Researchers to manage projects on-site within Kuwait City.</w:t>
      </w:r>
    </w:p>
    <w:bookmarkEnd w:id="21"/>
    <w:bookmarkStart w:id="22" w:name="X5a308f9c8b10327ed09f975353a148987fa2ecf"/>
    <w:p>
      <w:pPr>
        <w:pStyle w:val="Heading2"/>
      </w:pPr>
      <w:r>
        <w:t xml:space="preserve">III. Sales Analysis: The "Product" of Academic Researcher Talent</w:t>
      </w:r>
    </w:p>
    <w:p>
      <w:pPr>
        <w:pStyle w:val="FirstParagraph"/>
      </w:pPr>
      <w:r>
        <w:t xml:space="preserve">Crucially, this Sales Report reframes the Academic Researcher not as a commodity, but as a strategic service product. Our "sales pipeline" focuses on attracting and securing top-tier researchers through value propositions aligned with Kuwait City's vision:</w:t>
      </w:r>
    </w:p>
    <w:p>
      <w:pPr>
        <w:numPr>
          <w:ilvl w:val="0"/>
          <w:numId w:val="1002"/>
        </w:numPr>
        <w:pStyle w:val="Compact"/>
      </w:pPr>
      <w:r>
        <w:rPr>
          <w:bCs/>
          <w:b/>
        </w:rPr>
        <w:t xml:space="preserve">Value Proposition 1: Impact &amp; Recognition:</w:t>
      </w:r>
      <w:r>
        <w:t xml:space="preserve"> </w:t>
      </w:r>
      <w:r>
        <w:t xml:space="preserve">Kuwait City offers unparalleled opportunity for Academic Researchers to contribute directly to national transformation, gaining visibility in high-impact projects (e.g., carbon capture initiatives at KISR).</w:t>
      </w:r>
    </w:p>
    <w:p>
      <w:pPr>
        <w:numPr>
          <w:ilvl w:val="0"/>
          <w:numId w:val="1002"/>
        </w:numPr>
        <w:pStyle w:val="Compact"/>
      </w:pPr>
      <w:r>
        <w:rPr>
          <w:bCs/>
          <w:b/>
        </w:rPr>
        <w:t xml:space="preserve">Value Proposition 2: Infrastructure &amp; Support:</w:t>
      </w:r>
      <w:r>
        <w:t xml:space="preserve"> </w:t>
      </w:r>
      <w:r>
        <w:t xml:space="preserve">Premium research facilities, competitive salaries (20-35% above regional averages), and comprehensive relocation packages sold to prospective researchers.</w:t>
      </w:r>
    </w:p>
    <w:p>
      <w:pPr>
        <w:numPr>
          <w:ilvl w:val="0"/>
          <w:numId w:val="1002"/>
        </w:numPr>
        <w:pStyle w:val="Compact"/>
      </w:pPr>
      <w:r>
        <w:rPr>
          <w:bCs/>
          <w:b/>
        </w:rPr>
        <w:t xml:space="preserve">Value Proposition 3: Cultural Integration:</w:t>
      </w:r>
      <w:r>
        <w:t xml:space="preserve"> </w:t>
      </w:r>
      <w:r>
        <w:t xml:space="preserve">Tailored support for Academic Researchers transitioning to Kuwait City life, including Arabic language training and community integration programs – a critical differentiator.</w:t>
      </w:r>
    </w:p>
    <w:p>
      <w:pPr>
        <w:pStyle w:val="FirstParagraph"/>
      </w:pPr>
      <w:r>
        <w:t xml:space="preserve">Data shows a 28% increase in successful Academic Researcher placements within Kuwait City over the past year. Our most effective "sales channels" include targeted participation in global academic conferences (e.g., IEEE events), partnerships with top universities for recruitment drives, and leveraging Kuwait's digital presence via platforms like "Kuwait Research Talent Hub." The conversion rate from initial contact to signed contract is 37%, significantly above the regional average of 29%.</w:t>
      </w:r>
    </w:p>
    <w:bookmarkEnd w:id="22"/>
    <w:bookmarkStart w:id="23" w:name="Xb58383ab8c183d6691a4b1180260c7d90b7ef43"/>
    <w:p>
      <w:pPr>
        <w:pStyle w:val="Heading2"/>
      </w:pPr>
      <w:r>
        <w:t xml:space="preserve">IV. Competitive Landscape &amp; Challenges in Kuwait City</w:t>
      </w:r>
    </w:p>
    <w:p>
      <w:pPr>
        <w:pStyle w:val="FirstParagraph"/>
      </w:pPr>
      <w:r>
        <w:t xml:space="preserve">While demand is high, competition for elite Academic Researchers within Kuwait City intensifies annually. Key competitors include Doha's Hamad Bin Khalifa University (HBKU), Dubai’s research clusters, and major global institutions offering remote work flexibility. The primary challenges identified are:</w:t>
      </w:r>
    </w:p>
    <w:p>
      <w:pPr>
        <w:numPr>
          <w:ilvl w:val="0"/>
          <w:numId w:val="1003"/>
        </w:numPr>
        <w:pStyle w:val="Compact"/>
      </w:pPr>
      <w:r>
        <w:rPr>
          <w:bCs/>
          <w:b/>
        </w:rPr>
        <w:t xml:space="preserve">Geographic Perception:</w:t>
      </w:r>
      <w:r>
        <w:t xml:space="preserve"> </w:t>
      </w:r>
      <w:r>
        <w:t xml:space="preserve">Overcoming the misconception that Kuwait City lacks the academic vibrancy of Western hubs requires targeted "sales" messaging about KU's rising global rankings and KISR's cutting-edge facilities.</w:t>
      </w:r>
    </w:p>
    <w:p>
      <w:pPr>
        <w:numPr>
          <w:ilvl w:val="0"/>
          <w:numId w:val="1003"/>
        </w:numPr>
        <w:pStyle w:val="Compact"/>
      </w:pPr>
      <w:r>
        <w:rPr>
          <w:bCs/>
          <w:b/>
        </w:rPr>
        <w:t xml:space="preserve">Cultural Nuance:</w:t>
      </w:r>
      <w:r>
        <w:t xml:space="preserve"> </w:t>
      </w:r>
      <w:r>
        <w:t xml:space="preserve">Understanding the specific needs of researchers (e.g., family support, research autonomy) is critical. A failure to address these in the "sales" process leads to attrition; 18% of researchers leaving Kuwait cite unsuitable cultural fit as a primary factor.</w:t>
      </w:r>
    </w:p>
    <w:p>
      <w:pPr>
        <w:numPr>
          <w:ilvl w:val="0"/>
          <w:numId w:val="1003"/>
        </w:numPr>
        <w:pStyle w:val="Compact"/>
      </w:pPr>
      <w:r>
        <w:rPr>
          <w:bCs/>
          <w:b/>
        </w:rPr>
        <w:t xml:space="preserve">Talent Pricing:</w:t>
      </w:r>
      <w:r>
        <w:t xml:space="preserve"> </w:t>
      </w:r>
      <w:r>
        <w:t xml:space="preserve">Competing with hyper-growth tech firms offering higher cash compensation requires emphasizing Kuwait City's unique value: stability, quality of life, and national impact – not just salary.</w:t>
      </w:r>
    </w:p>
    <w:bookmarkEnd w:id="23"/>
    <w:bookmarkStart w:id="24" w:name="Xa2d0722a5900660b047a372fb35f7a7070ad1f6"/>
    <w:p>
      <w:pPr>
        <w:pStyle w:val="Heading2"/>
      </w:pPr>
      <w:r>
        <w:t xml:space="preserve">V. Strategic Recommendations for Enhanced Academic Researcher Sales Performance</w:t>
      </w:r>
    </w:p>
    <w:p>
      <w:pPr>
        <w:pStyle w:val="FirstParagraph"/>
      </w:pPr>
      <w:r>
        <w:t xml:space="preserve">To maximize the effectiveness of our Academic Researcher acquisition "sales" within Kuwait City, we propose the following actions:</w:t>
      </w:r>
    </w:p>
    <w:p>
      <w:pPr>
        <w:numPr>
          <w:ilvl w:val="0"/>
          <w:numId w:val="1004"/>
        </w:numPr>
        <w:pStyle w:val="Compact"/>
      </w:pPr>
      <w:r>
        <w:rPr>
          <w:bCs/>
          <w:b/>
        </w:rPr>
        <w:t xml:space="preserve">Develop a Kuwait City-Branded Talent Experience:</w:t>
      </w:r>
      <w:r>
        <w:t xml:space="preserve"> </w:t>
      </w:r>
      <w:r>
        <w:t xml:space="preserve">Create a dedicated "Kuwait Research Excellence" digital platform showcasing success stories of Academic Researchers in Kuwait City (e.g., profiles of researchers driving national AI strategy), directly targeting high-potential candidates.</w:t>
      </w:r>
    </w:p>
    <w:p>
      <w:pPr>
        <w:numPr>
          <w:ilvl w:val="0"/>
          <w:numId w:val="1004"/>
        </w:numPr>
        <w:pStyle w:val="Compact"/>
      </w:pPr>
      <w:r>
        <w:rPr>
          <w:bCs/>
          <w:b/>
        </w:rPr>
        <w:t xml:space="preserve">Strengthen University Partnerships in Kuwait City:</w:t>
      </w:r>
      <w:r>
        <w:t xml:space="preserve"> </w:t>
      </w:r>
      <w:r>
        <w:t xml:space="preserve">Formalize recruitment agreements with leading universities *based in* Kuwait City (KU, KWU) to create a consistent talent pipeline and co-branded research programs.</w:t>
      </w:r>
    </w:p>
    <w:p>
      <w:pPr>
        <w:numPr>
          <w:ilvl w:val="0"/>
          <w:numId w:val="1004"/>
        </w:numPr>
        <w:pStyle w:val="Compact"/>
      </w:pPr>
      <w:r>
        <w:rPr>
          <w:bCs/>
          <w:b/>
        </w:rPr>
        <w:t xml:space="preserve">Implement a Dedicated Kuwait City Talent Sales Team:</w:t>
      </w:r>
      <w:r>
        <w:t xml:space="preserve"> </w:t>
      </w:r>
      <w:r>
        <w:t xml:space="preserve">Establish a specialized team focused solely on the Kuwait City market, fluent in both English and Arabic business context, to handle all stages of the Academic Researcher recruitment "sales" journey.</w:t>
      </w:r>
    </w:p>
    <w:p>
      <w:pPr>
        <w:numPr>
          <w:ilvl w:val="0"/>
          <w:numId w:val="1004"/>
        </w:numPr>
        <w:pStyle w:val="Compact"/>
      </w:pPr>
      <w:r>
        <w:rPr>
          <w:bCs/>
          <w:b/>
        </w:rPr>
        <w:t xml:space="preserve">Leverage Local Success Metrics:</w:t>
      </w:r>
      <w:r>
        <w:t xml:space="preserve"> </w:t>
      </w:r>
      <w:r>
        <w:t xml:space="preserve">In all sales communications, prominently feature outcomes achieved by Academic Researchers *in Kuwait City* (e.g., "Researcher X published 5 papers in Nature Index journals while based at KISR in Kuwait City").</w:t>
      </w:r>
    </w:p>
    <w:bookmarkEnd w:id="24"/>
    <w:bookmarkStart w:id="25" w:name="X1d3ad4d0430ade2ec78115858209f33d00b6999"/>
    <w:p>
      <w:pPr>
        <w:pStyle w:val="Heading2"/>
      </w:pPr>
      <w:r>
        <w:t xml:space="preserve">VI. Conclusion: The Imperative for Strategic Academic Researcher Acquisition</w:t>
      </w:r>
    </w:p>
    <w:p>
      <w:pPr>
        <w:pStyle w:val="FirstParagraph"/>
      </w:pPr>
      <w:r>
        <w:t xml:space="preserve">This Sales Report underscores that securing top Academic Researchers within Kuwait City is not a recruitment function; it is a strategic business priority central to Kuwait's economic diversification. The market for these specialized professionals is robust and growing, but success requires moving beyond traditional job postings to adopting sophisticated, value-driven "sales" strategies tailored to the unique environment of Kuwait City. By investing in targeted talent acquisition that highlights the profound impact available to an Academic Researcher within Kuwait City – from contributing directly to national Vision 2035 goals to accessing world-class facilities and a dynamic urban research community – we position Kuwait as the premier destination for global academic talent. The data is clear: those institutions executing this strategic Academic Researcher "sales" approach will dominate Kuwait City's evolving knowledge economy, securing their leadership in research and innovation for decades to come.</w:t>
      </w:r>
    </w:p>
    <w:p>
      <w:pPr>
        <w:pStyle w:val="BodyText"/>
      </w:pPr>
      <w:r>
        <w:rPr>
          <w:bCs/>
          <w:b/>
        </w:rPr>
        <w:t xml:space="preserve">Prepared By:</w:t>
      </w:r>
      <w:r>
        <w:t xml:space="preserve"> </w:t>
      </w:r>
      <w:r>
        <w:t xml:space="preserve">Strategic Talent Acquisition Division, Kuwait Research &amp; Development Council</w:t>
      </w:r>
      <w:r>
        <w:br/>
      </w:r>
      <w:r>
        <w:rPr>
          <w:bCs/>
          <w:b/>
        </w:rPr>
        <w:t xml:space="preserve">Report Endorsed By:</w:t>
      </w:r>
      <w:r>
        <w:t xml:space="preserve"> </w:t>
      </w:r>
      <w:r>
        <w:t xml:space="preserve">KRDC Executive Committee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Talent Acquisition in Kuwait City</dc:title>
  <dc:creator/>
  <dc:language>en</dc:language>
  <cp:keywords/>
  <dcterms:created xsi:type="dcterms:W3CDTF">2026-07-21T04:02:13Z</dcterms:created>
  <dcterms:modified xsi:type="dcterms:W3CDTF">2026-07-21T04:02:13Z</dcterms:modified>
</cp:coreProperties>
</file>

<file path=docProps/custom.xml><?xml version="1.0" encoding="utf-8"?>
<Properties xmlns="http://schemas.openxmlformats.org/officeDocument/2006/custom-properties" xmlns:vt="http://schemas.openxmlformats.org/officeDocument/2006/docPropsVTypes"/>
</file>