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Malaysia</w:t>
      </w:r>
      <w:r>
        <w:t xml:space="preserve"> </w:t>
      </w:r>
      <w:r>
        <w:t xml:space="preserve">Kuala</w:t>
      </w:r>
      <w:r>
        <w:t xml:space="preserve"> </w:t>
      </w:r>
      <w:r>
        <w:t xml:space="preserve">Lumpur</w:t>
      </w:r>
    </w:p>
    <w:bookmarkStart w:id="29" w:name="X6c2d313844b854f392d75d3fe6c9dd5ef0a6c6c"/>
    <w:p>
      <w:pPr>
        <w:pStyle w:val="Heading1"/>
      </w:pPr>
      <w:r>
        <w:t xml:space="preserve">Academic Researcher Sales Performance Report: Malaysia Kuala Lumpur Market (Q3 2023)</w:t>
      </w:r>
    </w:p>
    <w:bookmarkStart w:id="28" w:name="prepared-for-executive-leadership-team"/>
    <w:p>
      <w:pPr>
        <w:pStyle w:val="Heading2"/>
      </w:pPr>
      <w:r>
        <w:t xml:space="preserve">Prepared For: Executive Leadership Team</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Global Sales Intelligence Division</w:t>
      </w:r>
    </w:p>
    <w:bookmarkStart w:id="20" w:name="i.-executive-summary"/>
    <w:p>
      <w:pPr>
        <w:pStyle w:val="Heading3"/>
      </w:pPr>
      <w:r>
        <w:t xml:space="preserve">I. Executive Summary</w:t>
      </w:r>
    </w:p>
    <w:p>
      <w:pPr>
        <w:pStyle w:val="FirstParagraph"/>
      </w:pPr>
      <w:r>
        <w:t xml:space="preserve">This comprehensive Sales Report details the performance of our academic research solutions portfolio across Malaysia's Kuala Lumpur (KL) market during Q3 2023. The report confirms that Academic Researcher adoption in KL has reached unprecedented levels, with a 28% year-over-year growth in solution deployments. Our strategic focus on Kuala Lumpur as the epicenter for higher education research infrastructure has yielded exceptional results, positioning us as the preferred vendor for academic institutions within Malaysia Kuala Lumpur's premier research ecosystem. This report validates our market-entry strategy targeting Academic Researchers who drive innovation at universities and research institutes across KL.</w:t>
      </w:r>
    </w:p>
    <w:bookmarkEnd w:id="20"/>
    <w:bookmarkStart w:id="21" w:name="X16ce84bcbfeb20f5c0029ebbff7a39171f48793"/>
    <w:p>
      <w:pPr>
        <w:pStyle w:val="Heading3"/>
      </w:pPr>
      <w:r>
        <w:t xml:space="preserve">II. Market Context: Academic Researcher Landscape in Malaysia Kuala Lumpur</w:t>
      </w:r>
    </w:p>
    <w:p>
      <w:pPr>
        <w:pStyle w:val="FirstParagraph"/>
      </w:pPr>
      <w:r>
        <w:t xml:space="preserve">Kuala Lumpur serves as the undisputed hub for academic excellence in Malaysia, housing 65% of the nation's public research universities including Universiti Malaya (UM), Universiti Teknologi Malaysia (UTM), and International Islamic University Malaysia (IIUM). The Academic Researcher community in KL represents a $320 million annual market for specialized research tools, with demand accelerating due to government initiatives like the</w:t>
      </w:r>
      <w:r>
        <w:t xml:space="preserve"> </w:t>
      </w:r>
      <w:r>
        <w:rPr>
          <w:iCs/>
          <w:i/>
        </w:rPr>
        <w:t xml:space="preserve">Malaysia Research and Innovation Policy 2030</w:t>
      </w:r>
      <w:r>
        <w:t xml:space="preserve">. Our Sales Report confirms that 74% of Academic Researchers in KL prioritize vendors offering seamless integration with local institutional systems—a critical differentiator we've successfully implemented.</w:t>
      </w:r>
    </w:p>
    <w:bookmarkEnd w:id="21"/>
    <w:bookmarkStart w:id="22" w:name="Xb53d131912362ac4928403f3c7477aec13d7c1d"/>
    <w:p>
      <w:pPr>
        <w:pStyle w:val="Heading3"/>
      </w:pPr>
      <w:r>
        <w:t xml:space="preserve">III. Sales Performance Analysis: Kuala Lumpur Focus</w:t>
      </w:r>
    </w:p>
    <w:p>
      <w:pPr>
        <w:pStyle w:val="FirstParagraph"/>
      </w:pPr>
      <w:r>
        <w:t xml:space="preserve">Product/Service</w:t>
      </w:r>
    </w:p>
    <w:p>
      <w:pPr>
        <w:pStyle w:val="BodyText"/>
      </w:pPr>
      <w:r>
        <w:t xml:space="preserve">Q3 2023 Revenue (MYR)</w:t>
      </w:r>
    </w:p>
    <w:p>
      <w:pPr>
        <w:pStyle w:val="BodyText"/>
      </w:pPr>
      <w:r>
        <w:t xml:space="preserve">% Growth vs Q2</w:t>
      </w:r>
    </w:p>
    <w:p>
      <w:pPr>
        <w:pStyle w:val="BodyText"/>
      </w:pPr>
      <w:r>
        <w:t xml:space="preserve">Key Academic Institutions Served</w:t>
      </w:r>
    </w:p>
    <w:p>
      <w:pPr>
        <w:pStyle w:val="BodyText"/>
      </w:pPr>
      <w:r>
        <w:t xml:space="preserve">Cloud-Based Research Data Platform</w:t>
      </w:r>
    </w:p>
    <w:p>
      <w:pPr>
        <w:pStyle w:val="BodyText"/>
      </w:pPr>
      <w:r>
        <w:t xml:space="preserve">RM 4,280,000</w:t>
      </w:r>
    </w:p>
    <w:p>
      <w:pPr>
        <w:pStyle w:val="BodyText"/>
      </w:pPr>
      <w:r>
        <w:t xml:space="preserve">+37%</w:t>
      </w:r>
    </w:p>
    <w:p>
      <w:pPr>
        <w:pStyle w:val="BodyText"/>
      </w:pPr>
      <w:r>
        <w:t xml:space="preserve">UM, UTM, IIUM, AUKM</w:t>
      </w:r>
    </w:p>
    <w:p>
      <w:pPr>
        <w:pStyle w:val="BodyText"/>
      </w:pPr>
      <w:r>
        <w:t xml:space="preserve">Specialized Lab Equipment Leasing</w:t>
      </w:r>
    </w:p>
    <w:p>
      <w:pPr>
        <w:pStyle w:val="BodyText"/>
      </w:pPr>
      <w:r>
        <w:t xml:space="preserve">RM 1,850,000</w:t>
      </w:r>
    </w:p>
    <w:p>
      <w:pPr>
        <w:pStyle w:val="BodyText"/>
      </w:pPr>
      <w:r>
        <w:t xml:space="preserve">+22%</w:t>
      </w:r>
    </w:p>
    <w:p>
      <w:pPr>
        <w:pStyle w:val="BodyText"/>
      </w:pPr>
      <w:r>
        <w:t xml:space="preserve">National University of Malaysia (UKM), Sunway University</w:t>
      </w:r>
    </w:p>
    <w:p>
      <w:pPr>
        <w:pStyle w:val="BodyText"/>
      </w:pPr>
      <w:r>
        <w:t xml:space="preserve">Academic Researcher Training Programs</w:t>
      </w:r>
    </w:p>
    <w:p>
      <w:pPr>
        <w:pStyle w:val="BodyText"/>
      </w:pPr>
      <w:r>
        <w:t xml:space="preserve">RM 635,000% Growth vs Q2</w:t>
      </w:r>
    </w:p>
    <w:p>
      <w:pPr>
        <w:pStyle w:val="BodyText"/>
      </w:pPr>
      <w:r>
        <w:rPr>
          <w:bCs/>
          <w:b/>
        </w:rPr>
        <w:t xml:space="preserve">Key Insight:</w:t>
      </w:r>
      <w:r>
        <w:t xml:space="preserve"> </w:t>
      </w:r>
      <w:r>
        <w:t xml:space="preserve">The 28% YoY growth in Academic Researcher adoption (as measured by active user licenses) is directly linked to our KL-based field team's deep understanding of local research workflows. Our sales representatives, all with PhD qualifications in relevant STEM fields, have achieved a 41% conversion rate on discovery calls—a 15-point advantage over regional competitors.</w:t>
      </w:r>
    </w:p>
    <w:bookmarkEnd w:id="22"/>
    <w:bookmarkStart w:id="23" w:name="Xdeac0a0a453170fdeeb5d8e6616c94e915e6511"/>
    <w:p>
      <w:pPr>
        <w:pStyle w:val="Heading3"/>
      </w:pPr>
      <w:r>
        <w:t xml:space="preserve">IV. Competitive Positioning: Why Kuala Lumpur Wins</w:t>
      </w:r>
    </w:p>
    <w:p>
      <w:pPr>
        <w:pStyle w:val="FirstParagraph"/>
      </w:pPr>
      <w:r>
        <w:t xml:space="preserve">Our Sales Report identifies three critical advantages in the Malaysia Kuala Lumpur Academic Researcher market:</w:t>
      </w:r>
    </w:p>
    <w:p>
      <w:pPr>
        <w:numPr>
          <w:ilvl w:val="0"/>
          <w:numId w:val="1001"/>
        </w:numPr>
        <w:pStyle w:val="Compact"/>
      </w:pPr>
      <w:r>
        <w:rPr>
          <w:bCs/>
          <w:b/>
        </w:rPr>
        <w:t xml:space="preserve">Cultural Fluency:</w:t>
      </w:r>
      <w:r>
        <w:t xml:space="preserve"> </w:t>
      </w:r>
      <w:r>
        <w:t xml:space="preserve">Localized sales teams (based at our KL headquarters) understand academic hierarchies, funding cycles, and publication expectations unique to Malaysian institutions. This enables us to navigate procurement processes 3.2x faster than global competitors.</w:t>
      </w:r>
    </w:p>
    <w:p>
      <w:pPr>
        <w:numPr>
          <w:ilvl w:val="0"/>
          <w:numId w:val="1001"/>
        </w:numPr>
        <w:pStyle w:val="Compact"/>
      </w:pPr>
      <w:r>
        <w:rPr>
          <w:bCs/>
          <w:b/>
        </w:rPr>
        <w:t xml:space="preserve">Infrastructure Integration:</w:t>
      </w:r>
      <w:r>
        <w:t xml:space="preserve"> </w:t>
      </w:r>
      <w:r>
        <w:t xml:space="preserve">We've partnered with Malaysia Digital Economy Corporation (MDEC) to deploy solutions compatible with KL's National Research Network (NRN), eliminating technical barriers that hindered previous vendors.</w:t>
      </w:r>
    </w:p>
    <w:p>
      <w:pPr>
        <w:numPr>
          <w:ilvl w:val="0"/>
          <w:numId w:val="1001"/>
        </w:numPr>
        <w:pStyle w:val="Compact"/>
      </w:pPr>
      <w:r>
        <w:rPr>
          <w:bCs/>
          <w:b/>
        </w:rPr>
        <w:t xml:space="preserve">Researcher-Centric Value Proposition:</w:t>
      </w:r>
      <w:r>
        <w:t xml:space="preserve"> </w:t>
      </w:r>
      <w:r>
        <w:t xml:space="preserve">Unlike generic sales approaches, our Academic Researcher engagement model prioritizes grant-writing support and publication analytics—features explicitly requested in 89% of KL university RFPs.</w:t>
      </w:r>
    </w:p>
    <w:bookmarkEnd w:id="23"/>
    <w:bookmarkStart w:id="24" w:name="v.-challenges-strategic-response"/>
    <w:p>
      <w:pPr>
        <w:pStyle w:val="Heading3"/>
      </w:pPr>
      <w:r>
        <w:t xml:space="preserve">V. Challenges &amp; Strategic Response</w:t>
      </w:r>
    </w:p>
    <w:p>
      <w:pPr>
        <w:pStyle w:val="FirstParagraph"/>
      </w:pPr>
      <w:r>
        <w:t xml:space="preserve">While performance is strong, our Sales Report identifies two market-specific challenges:</w:t>
      </w:r>
    </w:p>
    <w:p>
      <w:pPr>
        <w:numPr>
          <w:ilvl w:val="0"/>
          <w:numId w:val="1002"/>
        </w:numPr>
        <w:pStyle w:val="Compact"/>
      </w:pPr>
      <w:r>
        <w:rPr>
          <w:bCs/>
          <w:b/>
        </w:rPr>
        <w:t xml:space="preserve">Challenge: Budget Constraints</w:t>
      </w:r>
      <w:r>
        <w:t xml:space="preserve"> </w:t>
      </w:r>
      <w:r>
        <w:t xml:space="preserve">– 43% of KL Academic Researchers report funding delays due to Ministry of Higher Education budget cycles.</w:t>
      </w:r>
      <w:r>
        <w:t xml:space="preserve"> </w:t>
      </w:r>
      <w:r>
        <w:rPr>
          <w:iCs/>
          <w:i/>
        </w:rPr>
        <w:t xml:space="preserve">Response:</w:t>
      </w:r>
      <w:r>
        <w:t xml:space="preserve"> </w:t>
      </w:r>
      <w:r>
        <w:t xml:space="preserve">We introduced flexible payment plans aligned with Malaysia's fiscal year, resulting in 27 new contracts during Q3.</w:t>
      </w:r>
    </w:p>
    <w:p>
      <w:pPr>
        <w:numPr>
          <w:ilvl w:val="0"/>
          <w:numId w:val="1002"/>
        </w:numPr>
        <w:pStyle w:val="Compact"/>
      </w:pPr>
      <w:r>
        <w:rPr>
          <w:bCs/>
          <w:b/>
        </w:rPr>
        <w:t xml:space="preserve">Challenge: Vendor Fragmentation</w:t>
      </w:r>
      <w:r>
        <w:t xml:space="preserve"> </w:t>
      </w:r>
      <w:r>
        <w:t xml:space="preserve">– Universities often use multiple disconnected tools (per a 2023 Universiti Malaya survey).</w:t>
      </w:r>
      <w:r>
        <w:t xml:space="preserve"> </w:t>
      </w:r>
      <w:r>
        <w:rPr>
          <w:iCs/>
          <w:i/>
        </w:rPr>
        <w:t xml:space="preserve">Response:</w:t>
      </w:r>
      <w:r>
        <w:t xml:space="preserve"> </w:t>
      </w:r>
      <w:r>
        <w:t xml:space="preserve">Our integrated "KL Research Suite" bundles data platforms with equipment leasing, increasing average deal size by 62%.</w:t>
      </w:r>
    </w:p>
    <w:bookmarkEnd w:id="24"/>
    <w:bookmarkStart w:id="25" w:name="Xbcef7df923cee0cf4e3bc8c2039170c732158e0"/>
    <w:p>
      <w:pPr>
        <w:pStyle w:val="Heading3"/>
      </w:pPr>
      <w:r>
        <w:t xml:space="preserve">VI. Opportunities in Malaysia Kuala Lumpur</w:t>
      </w:r>
    </w:p>
    <w:p>
      <w:pPr>
        <w:pStyle w:val="FirstParagraph"/>
      </w:pPr>
      <w:r>
        <w:t xml:space="preserve">The following emerging opportunities present $18M+ potential for the next fiscal year:</w:t>
      </w:r>
    </w:p>
    <w:p>
      <w:pPr>
        <w:numPr>
          <w:ilvl w:val="0"/>
          <w:numId w:val="1003"/>
        </w:numPr>
        <w:pStyle w:val="Compact"/>
      </w:pPr>
      <w:r>
        <w:rPr>
          <w:bCs/>
          <w:b/>
        </w:rPr>
        <w:t xml:space="preserve">Biomedical Research Surge:</w:t>
      </w:r>
      <w:r>
        <w:t xml:space="preserve"> </w:t>
      </w:r>
      <w:r>
        <w:t xml:space="preserve">KL's National Cancer Research Network (NCRN) is expanding, creating demand for our AI-driven analysis tools among Academic Researchers at Hospital Universiti Kebangsaan Malaysia (HUKM).</w:t>
      </w:r>
    </w:p>
    <w:p>
      <w:pPr>
        <w:numPr>
          <w:ilvl w:val="0"/>
          <w:numId w:val="1003"/>
        </w:numPr>
        <w:pStyle w:val="Compact"/>
      </w:pPr>
      <w:r>
        <w:rPr>
          <w:bCs/>
          <w:b/>
        </w:rPr>
        <w:t xml:space="preserve">Tertiary Education Expansion:</w:t>
      </w:r>
      <w:r>
        <w:t xml:space="preserve"> </w:t>
      </w:r>
      <w:r>
        <w:t xml:space="preserve">New private universities in KL's Cyberjaya corridor require full research infrastructure—3 new contracts secured in Q3.</w:t>
      </w:r>
    </w:p>
    <w:p>
      <w:pPr>
        <w:numPr>
          <w:ilvl w:val="0"/>
          <w:numId w:val="1003"/>
        </w:numPr>
        <w:pStyle w:val="Compact"/>
      </w:pPr>
      <w:r>
        <w:rPr>
          <w:bCs/>
          <w:b/>
        </w:rPr>
        <w:t xml:space="preserve">Government Grants Alignment:</w:t>
      </w:r>
      <w:r>
        <w:t xml:space="preserve"> </w:t>
      </w:r>
      <w:r>
        <w:t xml:space="preserve">The "MyResearch Grant" initiative now requires digital tool compliance, positioning us as mandatory vendors for Academic Researchers pursuing funding.</w:t>
      </w:r>
    </w:p>
    <w:bookmarkEnd w:id="25"/>
    <w:bookmarkStart w:id="26" w:name="Xe753d6f713d35c6b440f0aa6891688b9d6c1447"/>
    <w:p>
      <w:pPr>
        <w:pStyle w:val="Heading3"/>
      </w:pPr>
      <w:r>
        <w:t xml:space="preserve">VII. Strategic Recommendations for KL Market</w:t>
      </w:r>
    </w:p>
    <w:p>
      <w:pPr>
        <w:pStyle w:val="FirstParagraph"/>
      </w:pPr>
      <w:r>
        <w:t xml:space="preserve">To capitalize on our market leadership in Malaysia Kuala Lumpur, we recommend:</w:t>
      </w:r>
    </w:p>
    <w:p>
      <w:pPr>
        <w:numPr>
          <w:ilvl w:val="0"/>
          <w:numId w:val="1004"/>
        </w:numPr>
        <w:pStyle w:val="Compact"/>
      </w:pPr>
      <w:r>
        <w:rPr>
          <w:bCs/>
          <w:b/>
        </w:rPr>
        <w:t xml:space="preserve">Establish KL Innovation Hub:</w:t>
      </w:r>
      <w:r>
        <w:t xml:space="preserve"> </w:t>
      </w:r>
      <w:r>
        <w:t xml:space="preserve">Allocate RM 1.5M to create a physical space at our KL office where Academic Researchers can co-develop solutions with our R&amp;D team.</w:t>
      </w:r>
    </w:p>
    <w:p>
      <w:pPr>
        <w:numPr>
          <w:ilvl w:val="0"/>
          <w:numId w:val="1004"/>
        </w:numPr>
        <w:pStyle w:val="Compact"/>
      </w:pPr>
      <w:r>
        <w:rPr>
          <w:bCs/>
          <w:b/>
        </w:rPr>
        <w:t xml:space="preserve">Sponsor Local Research Conferences:</w:t>
      </w:r>
      <w:r>
        <w:t xml:space="preserve"> </w:t>
      </w:r>
      <w:r>
        <w:t xml:space="preserve">Target the annual Kuala Lumpur International Research Summit (KLIRS) for exclusive solution demonstrations—projected to generate 45+ qualified leads.</w:t>
      </w:r>
    </w:p>
    <w:p>
      <w:pPr>
        <w:numPr>
          <w:ilvl w:val="0"/>
          <w:numId w:val="1004"/>
        </w:numPr>
        <w:pStyle w:val="Compact"/>
      </w:pPr>
      <w:r>
        <w:rPr>
          <w:bCs/>
          <w:b/>
        </w:rPr>
        <w:t xml:space="preserve">Develop Malay Language Support:</w:t>
      </w:r>
      <w:r>
        <w:t xml:space="preserve"> </w:t>
      </w:r>
      <w:r>
        <w:t xml:space="preserve">Launch bilingual (English/Malay) training modules for Academic Researchers, addressing a critical unmet need identified in our Q3 customer satisfaction survey.</w:t>
      </w:r>
    </w:p>
    <w:bookmarkEnd w:id="26"/>
    <w:bookmarkStart w:id="27" w:name="X428fc9466fe1d847391e5f5fba9658b5f9deb63"/>
    <w:p>
      <w:pPr>
        <w:pStyle w:val="Heading3"/>
      </w:pPr>
      <w:r>
        <w:t xml:space="preserve">VIII. Conclusion: The Academic Researcher Imperative in Malaysia Kuala Lumpur</w:t>
      </w:r>
    </w:p>
    <w:p>
      <w:pPr>
        <w:pStyle w:val="FirstParagraph"/>
      </w:pPr>
      <w:r>
        <w:t xml:space="preserve">This Sales Report unequivocally demonstrates that the Kuala Lumpur academic research sector is not just a market segment—it is the strategic heart of Malaysia's innovation economy. Our success with Academic Researchers across KL institutions validates our core strategy: treating each researcher as a collaborative partner rather than a transaction. As Malaysia accelerates toward its 2030 vision for becoming ASEAN's top research nation, our sales performance in Kuala Lumpur will directly determine our regional market leadership.</w:t>
      </w:r>
    </w:p>
    <w:p>
      <w:pPr>
        <w:pStyle w:val="BodyText"/>
      </w:pPr>
      <w:r>
        <w:rPr>
          <w:bCs/>
          <w:b/>
        </w:rPr>
        <w:t xml:space="preserve">Final Note:</w:t>
      </w:r>
      <w:r>
        <w:t xml:space="preserve"> </w:t>
      </w:r>
      <w:r>
        <w:t xml:space="preserve">For the first time in our company history, Academic Researchers represented 68% of all new logo acquisitions in Malaysia during Q3. This underscores why we must continue prioritizing "Academic Researcher" as the central focus of our Malaysia Kuala Lumpur operations—not as a customer segment, but as the engine driving national research excellence.</w:t>
      </w:r>
    </w:p>
    <w:p>
      <w:pPr>
        <w:pStyle w:val="BodyText"/>
      </w:pPr>
      <w:r>
        <w:rPr>
          <w:bCs/>
          <w:b/>
        </w:rPr>
        <w:t xml:space="preserve">Appendix A:</w:t>
      </w:r>
      <w:r>
        <w:t xml:space="preserve"> </w:t>
      </w:r>
      <w:r>
        <w:t xml:space="preserve">KL Academic Institution Engagement Metrics (2023 Q3)</w:t>
      </w:r>
    </w:p>
    <w:p>
      <w:pPr>
        <w:numPr>
          <w:ilvl w:val="0"/>
          <w:numId w:val="1005"/>
        </w:numPr>
        <w:pStyle w:val="Compact"/>
      </w:pPr>
      <w:r>
        <w:t xml:space="preserve">Academic Researchers Reached: 1,427</w:t>
      </w:r>
    </w:p>
    <w:p>
      <w:pPr>
        <w:numPr>
          <w:ilvl w:val="0"/>
          <w:numId w:val="1005"/>
        </w:numPr>
        <w:pStyle w:val="Compact"/>
      </w:pPr>
      <w:r>
        <w:t xml:space="preserve">New Research Team Deployments: 48</w:t>
      </w:r>
    </w:p>
    <w:p>
      <w:pPr>
        <w:numPr>
          <w:ilvl w:val="0"/>
          <w:numId w:val="1005"/>
        </w:numPr>
        <w:pStyle w:val="Compact"/>
      </w:pPr>
      <w:r>
        <w:t xml:space="preserve">Sales Cycle Length: 58 days (vs. industry average of 92 days)</w:t>
      </w:r>
    </w:p>
    <w:p>
      <w:pPr>
        <w:pStyle w:val="FirstParagraph"/>
      </w:pPr>
      <w:r>
        <w:rPr>
          <w:iCs/>
          <w:i/>
        </w:rPr>
        <w:t xml:space="preserve">This report is confidential and intended solely for internal executive review. Distribution requires authorization from the Global Sales Director.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Malaysia Kuala Lumpur</dc:title>
  <dc:creator/>
  <dc:language>en</dc:language>
  <cp:keywords/>
  <dcterms:created xsi:type="dcterms:W3CDTF">2026-07-21T15:00:50Z</dcterms:created>
  <dcterms:modified xsi:type="dcterms:W3CDTF">2026-07-21T15:00:50Z</dcterms:modified>
</cp:coreProperties>
</file>

<file path=docProps/custom.xml><?xml version="1.0" encoding="utf-8"?>
<Properties xmlns="http://schemas.openxmlformats.org/officeDocument/2006/custom-properties" xmlns:vt="http://schemas.openxmlformats.org/officeDocument/2006/docPropsVTypes"/>
</file>