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Mexico</w:t>
      </w:r>
      <w:r>
        <w:t xml:space="preserve"> </w:t>
      </w:r>
      <w:r>
        <w:t xml:space="preserve">City</w:t>
      </w:r>
      <w:r>
        <w:t xml:space="preserve"> </w:t>
      </w:r>
      <w:r>
        <w:t xml:space="preserve">Market</w:t>
      </w:r>
      <w:r>
        <w:t xml:space="preserve"> </w:t>
      </w:r>
      <w:r>
        <w:t xml:space="preserve">Analysis</w:t>
      </w:r>
    </w:p>
    <w:bookmarkStart w:id="32" w:name="X02ca1da8706a8c8b8159b8a662370878df77afa"/>
    <w:p>
      <w:pPr>
        <w:pStyle w:val="Heading1"/>
      </w:pPr>
      <w:r>
        <w:t xml:space="preserve">Sales Report: Academic Researcher Performance in Mexico City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Research &amp; Development Leadership, National University of Mexico (UNAM)</w:t>
      </w:r>
      <w:r>
        <w:br/>
      </w:r>
      <w:r>
        <w:rPr>
          <w:bCs/>
          <w:b/>
        </w:rPr>
        <w:t xml:space="preserve">Prepared By:</w:t>
      </w:r>
      <w:r>
        <w:t xml:space="preserve"> </w:t>
      </w:r>
      <w:r>
        <w:t xml:space="preserve">Dr. Elena Mendoza, Senior Academic Researcher &amp; Market Strategy Lead</w:t>
      </w:r>
    </w:p>
    <w:bookmarkStart w:id="20" w:name="i.-executive-summary"/>
    <w:p>
      <w:pPr>
        <w:pStyle w:val="Heading2"/>
      </w:pPr>
      <w:r>
        <w:t xml:space="preserve">I. Executive Summary</w:t>
      </w:r>
    </w:p>
    <w:p>
      <w:pPr>
        <w:pStyle w:val="FirstParagraph"/>
      </w:pPr>
      <w:r>
        <w:t xml:space="preserve">This Sales Report details the performance of academic research services delivered by our Mexico City-based research unit during Q3 2023. As an Academic Researcher operating within Mexico City's vibrant knowledge ecosystem, we achieved a 14% year-over-year growth in funding secured for collaborative projects, totaling MXN 8.7 million (USD $542,000). This success directly supports our mandate to advance scientific excellence while strengthening Mexico City's position as Latin America's premier hub for academic innovation. The report confirms that strategic alignment with local industry needs and rigorous research methodology are driving exceptional results in this dynamic market.</w:t>
      </w:r>
    </w:p>
    <w:bookmarkEnd w:id="20"/>
    <w:bookmarkStart w:id="21" w:name="ii.-mexico-city-market-context"/>
    <w:p>
      <w:pPr>
        <w:pStyle w:val="Heading2"/>
      </w:pPr>
      <w:r>
        <w:t xml:space="preserve">II. Mexico City Market Context</w:t>
      </w:r>
    </w:p>
    <w:p>
      <w:pPr>
        <w:pStyle w:val="FirstParagraph"/>
      </w:pPr>
      <w:r>
        <w:t xml:space="preserve">Mexico City represents a unique academic sales landscape characterized by high demand for evidence-based solutions to urban challenges. With 35% of Mexico's research institutions headquartered here, including UNAM, IPN, and Tecnológico de Monterrey campuses, the market requires specialized approaches. Our Academic Researcher team has adapted to this environment through deep community engagement – hosting 12 workshops at Cámara Nacional de la Industria de Radio y Televisión (CANIRAC) and partnering with Mexico City's Secretaría de Desarrollo Económico on smart city initiatives. This hyperlocal focus has been instrumental in converting research capabilities into measurable sales outcomes.</w:t>
      </w:r>
    </w:p>
    <w:bookmarkEnd w:id="21"/>
    <w:bookmarkStart w:id="22" w:name="iii.-sales-performance-metrics-q3-2023"/>
    <w:p>
      <w:pPr>
        <w:pStyle w:val="Heading2"/>
      </w:pPr>
      <w:r>
        <w:t xml:space="preserve">III. Sales Performance Metrics (Q3 2023)</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Funding Secured (MXN)</w:t>
      </w:r>
    </w:p>
    <w:p>
      <w:pPr>
        <w:pStyle w:val="BodyText"/>
      </w:pPr>
      <w:r>
        <w:t xml:space="preserve">8,745,000</w:t>
      </w:r>
    </w:p>
    <w:p>
      <w:pPr>
        <w:pStyle w:val="BodyText"/>
      </w:pPr>
      <w:r>
        <w:t xml:space="preserve">7,665,000</w:t>
      </w:r>
    </w:p>
    <w:p>
      <w:pPr>
        <w:pStyle w:val="BodyText"/>
      </w:pPr>
      <w:r>
        <w:t xml:space="preserve">+14.1%</w:t>
      </w:r>
    </w:p>
    <w:p>
      <w:pPr>
        <w:pStyle w:val="BodyText"/>
      </w:pPr>
      <w:r>
        <w:t xml:space="preserve">New Institutional Partnerships</w:t>
      </w:r>
    </w:p>
    <w:p>
      <w:pPr>
        <w:pStyle w:val="BodyText"/>
      </w:pPr>
      <w:r>
        <w:t xml:space="preserve">9</w:t>
      </w:r>
    </w:p>
    <w:p>
      <w:pPr>
        <w:pStyle w:val="BodyText"/>
      </w:pPr>
      <w:r>
        <w:t xml:space="preserve">5</w:t>
      </w:r>
    </w:p>
    <w:p>
      <w:pPr>
        <w:pStyle w:val="BodyText"/>
      </w:pPr>
      <w:r>
        <w:t xml:space="preserve">Local Government Projects (Mexico City)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Name</w:t>
            </w:r>
          </w:p>
        </w:tc>
        <w:tc>
          <w:tcPr/>
          <w:p>
            <w:pPr>
              <w:pStyle w:val="Compact"/>
              <w:jc w:val="left"/>
            </w:pPr>
            <w:r>
              <w:t xml:space="preserve">Funding Source</w:t>
            </w:r>
          </w:p>
        </w:tc>
        <w:tc>
          <w:tcPr/>
          <w:p>
            <w:pPr>
              <w:pStyle w:val="Compact"/>
              <w:jc w:val="left"/>
            </w:pPr>
            <w:r>
              <w:t xml:space="preserve">Value (MXN)</w:t>
            </w:r>
          </w:p>
        </w:tc>
        <w:tc>
          <w:tcPr/>
          <w:p>
            <w:pPr>
              <w:pStyle w:val="Compact"/>
              <w:jc w:val="left"/>
            </w:pPr>
            <w:r>
              <w:t xml:space="preserve">Mexico City Impact Area</w:t>
            </w:r>
          </w:p>
        </w:tc>
      </w:tr>
      <w:tr>
        <w:tc>
          <w:tcPr/>
          <w:p>
            <w:pPr>
              <w:pStyle w:val="Compact"/>
              <w:jc w:val="left"/>
            </w:pPr>
            <w:r>
              <w:t xml:space="preserve">Sustainable Urban Mobility Analytics</w:t>
            </w:r>
          </w:p>
        </w:tc>
        <w:tc>
          <w:tcPr/>
          <w:p>
            <w:pPr>
              <w:pStyle w:val="Compact"/>
              <w:jc w:val="left"/>
            </w:pPr>
            <w:r>
              <w:t xml:space="preserve">México City Secretaría de Movilidad</w:t>
            </w:r>
          </w:p>
        </w:tc>
        <w:tc>
          <w:tcPr/>
          <w:p>
            <w:pPr>
              <w:pStyle w:val="Compact"/>
              <w:jc w:val="left"/>
            </w:pPr>
            <w:r>
              <w:t xml:space="preserve">2,300,000</w:t>
            </w:r>
          </w:p>
        </w:tc>
        <w:tc>
          <w:tcPr/>
          <w:p>
            <w:pPr>
              <w:pStyle w:val="Compact"/>
              <w:jc w:val="left"/>
            </w:pPr>
            <w:r>
              <w:t xml:space="preserve">Public Transportation Optimization</w:t>
            </w:r>
          </w:p>
        </w:tc>
      </w:tr>
      <w:tr>
        <w:tc>
          <w:tcPr/>
          <w:p>
            <w:pPr>
              <w:pStyle w:val="Compact"/>
              <w:jc w:val="left"/>
            </w:pPr>
            <w:r>
              <w:t xml:space="preserve">Healthcare Access Data Platform</w:t>
            </w:r>
          </w:p>
        </w:tc>
        <w:tc>
          <w:tcPr/>
          <w:p>
            <w:pPr>
              <w:pStyle w:val="Compact"/>
              <w:jc w:val="left"/>
            </w:pPr>
            <w:r>
              <w:t xml:space="preserve">Instituto Nacional de Salud Pública (Mexico City)</w:t>
            </w:r>
          </w:p>
        </w:tc>
        <w:tc>
          <w:tcPr/>
          <w:p>
            <w:pPr>
              <w:pStyle w:val="Compact"/>
              <w:jc w:val="left"/>
            </w:pPr>
            <w:r>
              <w:t xml:space="preserve">1,850,000</w:t>
            </w:r>
          </w:p>
        </w:tc>
        <w:tc>
          <w:tcPr/>
          <w:p>
            <w:pPr>
              <w:pStyle w:val="Compact"/>
              <w:jc w:val="left"/>
            </w:pPr>
            <w:r>
              <w:t xml:space="preserve">Rural Healthcare Expansion</w:t>
            </w:r>
          </w:p>
        </w:tc>
      </w:tr>
      <w:tr>
        <w:tc>
          <w:tcPr/>
          <w:p>
            <w:pPr>
              <w:pStyle w:val="Compact"/>
              <w:jc w:val="left"/>
            </w:pPr>
            <w:r>
              <w:t xml:space="preserve">Social Innovation Incubator</w:t>
            </w:r>
          </w:p>
        </w:tc>
        <w:tc>
          <w:tcPr/>
          <w:p>
            <w:pPr>
              <w:pStyle w:val="Compact"/>
              <w:jc w:val="left"/>
            </w:pPr>
            <w:r>
              <w:t xml:space="preserve">Cámara de Comercio de la Ciudad de México</w:t>
            </w:r>
          </w:p>
        </w:tc>
        <w:tc>
          <w:tcPr/>
          <w:p>
            <w:pPr>
              <w:pStyle w:val="Compact"/>
              <w:jc w:val="left"/>
            </w:pPr>
            <w:r>
              <w:t xml:space="preserve">1,275,000</w:t>
            </w:r>
          </w:p>
        </w:tc>
        <w:tc>
          <w:tcPr/>
          <w:p>
            <w:pPr>
              <w:pStyle w:val="Compact"/>
              <w:jc w:val="left"/>
            </w:pPr>
            <w:r>
              <w:t xml:space="preserve">Entrepreneurship Development in Boroughs 1-5</w:t>
            </w:r>
          </w:p>
        </w:tc>
      </w:tr>
    </w:tbl>
    <w:bookmarkEnd w:id="22"/>
    <w:bookmarkStart w:id="26" w:name="iv.-key-sales-drivers-in-mexico-city"/>
    <w:p>
      <w:pPr>
        <w:pStyle w:val="Heading2"/>
      </w:pPr>
      <w:r>
        <w:t xml:space="preserve">IV. Key Sales Drivers in Mexico City</w:t>
      </w:r>
    </w:p>
    <w:p>
      <w:pPr>
        <w:pStyle w:val="FirstParagraph"/>
      </w:pPr>
      <w:r>
        <w:t xml:space="preserve">Our Academic Researcher team attributes success to three market-specific strategies:</w:t>
      </w:r>
    </w:p>
    <w:bookmarkStart w:id="23" w:name="a.-hyperlocal-problem-solving-framework"/>
    <w:p>
      <w:pPr>
        <w:pStyle w:val="Heading3"/>
      </w:pPr>
      <w:r>
        <w:t xml:space="preserve">A. Hyperlocal Problem-Solving Framework</w:t>
      </w:r>
    </w:p>
    <w:p>
      <w:pPr>
        <w:pStyle w:val="FirstParagraph"/>
      </w:pPr>
      <w:r>
        <w:t xml:space="preserve">We developed a Mexico City Diagnostic Toolkit addressing urban challenges unique to the capital: traffic congestion (affecting 78% of residents), healthcare access disparities across boroughs, and climate vulnerability in low-income neighborhoods. This tailored approach increased proposal conversion rates by 22% compared to generic academic pitches. For instance, our Mobility Analytics project directly informed Mexico City's new "Bike Lane Expansion Plan" adopted in September 2023.</w:t>
      </w:r>
    </w:p>
    <w:bookmarkEnd w:id="23"/>
    <w:bookmarkStart w:id="24" w:name="X2eb5e86d650da6d47227ee895239ef050872fcd"/>
    <w:p>
      <w:pPr>
        <w:pStyle w:val="Heading3"/>
      </w:pPr>
      <w:r>
        <w:t xml:space="preserve">B. Community-Centric Research Partnerships</w:t>
      </w:r>
    </w:p>
    <w:p>
      <w:pPr>
        <w:pStyle w:val="FirstParagraph"/>
      </w:pPr>
      <w:r>
        <w:t xml:space="preserve">Instead of traditional vendor-client relationships, we established co-creation models with Mexico City stakeholders. The Healthcare Access Platform was developed with community health workers from Iztapalapa and Tlalpan boroughs, ensuring solutions met actual user needs. This collaborative methodology resulted in a 92% client retention rate among local government partners – far exceeding the academic services industry average of 68%.</w:t>
      </w:r>
    </w:p>
    <w:bookmarkEnd w:id="24"/>
    <w:bookmarkStart w:id="25" w:name="c.-regulatory-navigation-expertise"/>
    <w:p>
      <w:pPr>
        <w:pStyle w:val="Heading3"/>
      </w:pPr>
      <w:r>
        <w:t xml:space="preserve">C. Regulatory Navigation Expertise</w:t>
      </w:r>
    </w:p>
    <w:p>
      <w:pPr>
        <w:pStyle w:val="FirstParagraph"/>
      </w:pPr>
      <w:r>
        <w:t xml:space="preserve">Mexico City's complex municipal procurement regulations (including NOM-051-SSA2-2019 for health projects) required specialized knowledge. Our Academic Researcher team trained in Mexico City's Public Procurement System (SIPRE) achieved a 100% compliance rate on all awarded contracts, eliminating costly re-submission delays common in the sector.</w:t>
      </w:r>
    </w:p>
    <w:bookmarkEnd w:id="25"/>
    <w:bookmarkEnd w:id="26"/>
    <w:bookmarkStart w:id="29" w:name="v.-challenges-strategic-responses"/>
    <w:p>
      <w:pPr>
        <w:pStyle w:val="Heading2"/>
      </w:pPr>
      <w:r>
        <w:t xml:space="preserve">V. Challenges &amp; Strategic Responses</w:t>
      </w:r>
    </w:p>
    <w:p>
      <w:pPr>
        <w:pStyle w:val="FirstParagraph"/>
      </w:pPr>
      <w:r>
        <w:t xml:space="preserve">Two significant challenges emerged during Q3:</w:t>
      </w:r>
    </w:p>
    <w:bookmarkStart w:id="27" w:name="budget-constraints-in-local-government"/>
    <w:p>
      <w:pPr>
        <w:pStyle w:val="Heading3"/>
      </w:pPr>
      <w:r>
        <w:t xml:space="preserve">1. Budget Constraints in Local Government</w:t>
      </w:r>
    </w:p>
    <w:p>
      <w:pPr>
        <w:pStyle w:val="FirstParagraph"/>
      </w:pPr>
      <w:r>
        <w:rPr>
          <w:iCs/>
          <w:i/>
        </w:rPr>
        <w:t xml:space="preserve">Challenge:</w:t>
      </w:r>
      <w:r>
        <w:t xml:space="preserve"> </w:t>
      </w:r>
      <w:r>
        <w:t xml:space="preserve">Mexico City's 2023 budget reductions affected research funding allocation.</w:t>
      </w:r>
    </w:p>
    <w:p>
      <w:pPr>
        <w:pStyle w:val="BodyText"/>
      </w:pPr>
      <w:r>
        <w:rPr>
          <w:iCs/>
          <w:i/>
        </w:rPr>
        <w:t xml:space="preserve">Solution:</w:t>
      </w:r>
      <w:r>
        <w:t xml:space="preserve"> </w:t>
      </w:r>
      <w:r>
        <w:t xml:space="preserve">We pivoted to value-based pricing models, demonstrating ROI through pilot projects. Our 18-month mobility study with Secretaría de Movilidad showed a projected 15% reduction in commute times – securing $2.3M for phase two despite overall budget cuts.</w:t>
      </w:r>
    </w:p>
    <w:bookmarkEnd w:id="27"/>
    <w:bookmarkStart w:id="28" w:name="competition-from-foreign-research-firms"/>
    <w:p>
      <w:pPr>
        <w:pStyle w:val="Heading3"/>
      </w:pPr>
      <w:r>
        <w:t xml:space="preserve">2. Competition from Foreign Research Firms</w:t>
      </w:r>
    </w:p>
    <w:p>
      <w:pPr>
        <w:pStyle w:val="FirstParagraph"/>
      </w:pPr>
      <w:r>
        <w:rPr>
          <w:iCs/>
          <w:i/>
        </w:rPr>
        <w:t xml:space="preserve">Challenge:</w:t>
      </w:r>
      <w:r>
        <w:t xml:space="preserve"> </w:t>
      </w:r>
      <w:r>
        <w:t xml:space="preserve">International academic firms offered lower rates but lacked Mexico City contextual knowledge.</w:t>
      </w:r>
    </w:p>
    <w:p>
      <w:pPr>
        <w:pStyle w:val="BodyText"/>
      </w:pPr>
      <w:r>
        <w:rPr>
          <w:iCs/>
          <w:i/>
        </w:rPr>
        <w:t xml:space="preserve">Solution:</w:t>
      </w:r>
      <w:r>
        <w:t xml:space="preserve"> </w:t>
      </w:r>
      <w:r>
        <w:t xml:space="preserve">We developed "Mexico City Research Certifications" validating local expertise, creating a competitive differentiator that won 7 of 9 high-value contracts this quarter.</w:t>
      </w:r>
    </w:p>
    <w:bookmarkEnd w:id="28"/>
    <w:bookmarkEnd w:id="29"/>
    <w:bookmarkStart w:id="30" w:name="Xe81913107f6b53d6d54e45777dcefee173d5483"/>
    <w:p>
      <w:pPr>
        <w:pStyle w:val="Heading2"/>
      </w:pPr>
      <w:r>
        <w:t xml:space="preserve">VI. Future Sales Strategy for Mexico City</w:t>
      </w:r>
    </w:p>
    <w:p>
      <w:pPr>
        <w:pStyle w:val="FirstParagraph"/>
      </w:pPr>
      <w:r>
        <w:t xml:space="preserve">Based on Q3 performance, we recommend:</w:t>
      </w:r>
    </w:p>
    <w:p>
      <w:pPr>
        <w:numPr>
          <w:ilvl w:val="0"/>
          <w:numId w:val="1001"/>
        </w:numPr>
        <w:pStyle w:val="Compact"/>
      </w:pPr>
      <w:r>
        <w:rPr>
          <w:bCs/>
          <w:b/>
        </w:rPr>
        <w:t xml:space="preserve">Launch "Ciudad Inteligente" Research Suite:</w:t>
      </w:r>
      <w:r>
        <w:t xml:space="preserve"> </w:t>
      </w:r>
      <w:r>
        <w:t xml:space="preserve">Bundle mobility, healthcare and climate projects into a single Mexico City urban innovation package targeting the city's 2030 sustainability goals.</w:t>
      </w:r>
    </w:p>
    <w:p>
      <w:pPr>
        <w:numPr>
          <w:ilvl w:val="0"/>
          <w:numId w:val="1001"/>
        </w:numPr>
        <w:pStyle w:val="Compact"/>
      </w:pPr>
      <w:r>
        <w:rPr>
          <w:bCs/>
          <w:b/>
        </w:rPr>
        <w:t xml:space="preserve">Develop Mexico City Research Fellowship Program:</w:t>
      </w:r>
      <w:r>
        <w:t xml:space="preserve"> </w:t>
      </w:r>
      <w:r>
        <w:t xml:space="preserve">Attract top local talent to strengthen our Academic Researcher team while building long-term client relationships through capacity development.</w:t>
      </w:r>
    </w:p>
    <w:p>
      <w:pPr>
        <w:numPr>
          <w:ilvl w:val="0"/>
          <w:numId w:val="1001"/>
        </w:numPr>
        <w:pStyle w:val="Compact"/>
      </w:pPr>
      <w:r>
        <w:rPr>
          <w:bCs/>
          <w:b/>
        </w:rPr>
        <w:t xml:space="preserve">Establish Mexico City Innovation Hub:</w:t>
      </w:r>
      <w:r>
        <w:t xml:space="preserve"> </w:t>
      </w:r>
      <w:r>
        <w:t xml:space="preserve">Partner with CDMX's "Instituto de Investigaciones Sociales" to create a physical research space, increasing sales visibility by 40% as per market analysis.</w:t>
      </w:r>
    </w:p>
    <w:bookmarkEnd w:id="30"/>
    <w:bookmarkStart w:id="31" w:name="vii.-conclusion"/>
    <w:p>
      <w:pPr>
        <w:pStyle w:val="Heading2"/>
      </w:pPr>
      <w:r>
        <w:t xml:space="preserve">VII. Conclusion</w:t>
      </w:r>
    </w:p>
    <w:p>
      <w:pPr>
        <w:pStyle w:val="FirstParagraph"/>
      </w:pPr>
      <w:r>
        <w:t xml:space="preserve">This Sales Report confirms that Mexico City represents a high-potential market where academic rigor and local contextual intelligence drive exceptional sales outcomes. As an Academic Researcher operating within Mexico City's unique ecosystem, our team has demonstrated that research services can be positioned as strategic business assets – not just scholarly activities. The 14% funding growth and nine new partnerships in Q3 validate our model of deep community integration combined with methodological excellence. We project 20% revenue growth for FY2024 by scaling these Mexico City-specific strategies across all academic service lines, further cementing our role as the preferred research partner for transforming urban challenges into evidence-based solutions within Mexico's capital city.</w:t>
      </w:r>
    </w:p>
    <w:p>
      <w:pPr>
        <w:pStyle w:val="BodyText"/>
      </w:pPr>
      <w:r>
        <w:rPr>
          <w:bCs/>
          <w:b/>
        </w:rPr>
        <w:t xml:space="preserve">Recommendation:</w:t>
      </w:r>
      <w:r>
        <w:t xml:space="preserve"> </w:t>
      </w:r>
      <w:r>
        <w:t xml:space="preserve">Approve MXN 1.5 million investment to establish the Mexico City Innovation Hub by Q1 2024, enabling us to capture an estimated MXN 32M in new research contracts through targeted sales initiatives within Mexico City's municipal sector.</w:t>
      </w:r>
    </w:p>
    <w:p>
      <w:pPr>
        <w:pStyle w:val="BodyText"/>
      </w:pPr>
      <w:r>
        <w:rPr>
          <w:iCs/>
          <w:i/>
        </w:rPr>
        <w:t xml:space="preserve">This report was prepared using data from the Research Management System (RMS), UNAM Finance Portal, and Mexico City Municipal Procurement Database. All financial figures converted at 19.8 MXN/USD (Banco de México, September 30,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Mexico City Market Analysis</dc:title>
  <dc:creator/>
  <dc:language>en</dc:language>
  <cp:keywords/>
  <dcterms:created xsi:type="dcterms:W3CDTF">2025-12-12T03:40:40Z</dcterms:created>
  <dcterms:modified xsi:type="dcterms:W3CDTF">2025-12-12T03:40:40Z</dcterms:modified>
</cp:coreProperties>
</file>

<file path=docProps/custom.xml><?xml version="1.0" encoding="utf-8"?>
<Properties xmlns="http://schemas.openxmlformats.org/officeDocument/2006/custom-properties" xmlns:vt="http://schemas.openxmlformats.org/officeDocument/2006/docPropsVTypes"/>
</file>