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Academic</w:t>
      </w:r>
      <w:r>
        <w:t xml:space="preserve"> </w:t>
      </w:r>
      <w:r>
        <w:t xml:space="preserve">Researcher</w:t>
      </w:r>
      <w:r>
        <w:t xml:space="preserve"> </w:t>
      </w:r>
      <w:r>
        <w:t xml:space="preserve">Support</w:t>
      </w:r>
      <w:r>
        <w:t xml:space="preserve"> </w:t>
      </w:r>
      <w:r>
        <w:t xml:space="preserve">Services</w:t>
      </w:r>
      <w:r>
        <w:t xml:space="preserve"> </w:t>
      </w:r>
      <w:r>
        <w:t xml:space="preserve">-</w:t>
      </w:r>
      <w:r>
        <w:t xml:space="preserve"> </w:t>
      </w:r>
      <w:r>
        <w:t xml:space="preserve">Morocco</w:t>
      </w:r>
      <w:r>
        <w:t xml:space="preserve"> </w:t>
      </w:r>
      <w:r>
        <w:t xml:space="preserve">Casablanca</w:t>
      </w:r>
    </w:p>
    <w:bookmarkStart w:id="28" w:name="X68eeba9de46fee5f1c1e09560d90f4d932032d0"/>
    <w:p>
      <w:pPr>
        <w:pStyle w:val="Heading1"/>
      </w:pPr>
      <w:r>
        <w:t xml:space="preserve">Sales Report: Academic Researcher Support Services in Morocco Casablanca</w:t>
      </w:r>
    </w:p>
    <w:p>
      <w:pPr>
        <w:pStyle w:val="FirstParagraph"/>
      </w:pPr>
      <w:r>
        <w:rPr>
          <w:bCs/>
          <w:b/>
        </w:rPr>
        <w:t xml:space="preserve">Prepared For:</w:t>
      </w:r>
      <w:r>
        <w:t xml:space="preserve"> </w:t>
      </w:r>
      <w:r>
        <w:t xml:space="preserve">Executive Leadership, Morocco Regional Office</w:t>
      </w:r>
      <w:r>
        <w:br/>
      </w:r>
      <w:r>
        <w:rPr>
          <w:bCs/>
          <w:b/>
        </w:rPr>
        <w:t xml:space="preserve">Date:</w:t>
      </w:r>
      <w:r>
        <w:t xml:space="preserve"> </w:t>
      </w:r>
      <w:r>
        <w:t xml:space="preserve">October 26, 2023</w:t>
      </w:r>
      <w:r>
        <w:br/>
      </w:r>
      <w:r>
        <w:rPr>
          <w:bCs/>
          <w:b/>
        </w:rPr>
        <w:t xml:space="preserve">Reporting Period:</w:t>
      </w:r>
      <w:r>
        <w:t xml:space="preserve"> </w:t>
      </w:r>
      <w:r>
        <w:t xml:space="preserve">July 1, 2023 - September 30, 2023</w:t>
      </w:r>
    </w:p>
    <w:bookmarkStart w:id="20" w:name="i.-executive-summary"/>
    <w:p>
      <w:pPr>
        <w:pStyle w:val="Heading2"/>
      </w:pPr>
      <w:r>
        <w:t xml:space="preserve">I. Executive Summary</w:t>
      </w:r>
    </w:p>
    <w:p>
      <w:pPr>
        <w:pStyle w:val="FirstParagraph"/>
      </w:pPr>
      <w:r>
        <w:t xml:space="preserve">This Sales Report details the performance of our academic research support services across Morocco Casablanca. The region has demonstrated exceptional growth in demand for specialized research tools and consulting, with a remarkable 37% year-over-year increase in sales revenue from Academic Researcher clients. This surge underscores Casablanca's emergence as Morocco's primary hub for academic innovation, positioning our company at the forefront of supporting scientific advancement in North Africa. The report identifies strategic opportunities to further penetrate this high-potential market while addressing unique challenges specific to Academic Researcher workflows in Moroccan institutions.</w:t>
      </w:r>
    </w:p>
    <w:bookmarkEnd w:id="20"/>
    <w:bookmarkStart w:id="21" w:name="Xd519b2615561e0ec18be3e5f4e1fe9fd23eac01"/>
    <w:p>
      <w:pPr>
        <w:pStyle w:val="Heading2"/>
      </w:pPr>
      <w:r>
        <w:t xml:space="preserve">II. Market Context: Academic Researcher Landscape in Morocco Casablanca</w:t>
      </w:r>
    </w:p>
    <w:p>
      <w:pPr>
        <w:pStyle w:val="FirstParagraph"/>
      </w:pPr>
      <w:r>
        <w:t xml:space="preserve">Casablanca hosts 68% of Morocco's academic research institutions, including prestigious entities like Hassan II University and the Mohammed VI Polytechnic University. Our recent market analysis reveals that Academic Researchers in this region face three critical challenges: limited access to advanced research instrumentation (73% reported), complex grant application processes (89%), and insufficient data management infrastructure (65%). This creates a compelling opportunity for tailored sales solutions. The Moroccan Ministry of Higher Education's 2023 innovation directive, prioritizing research commercialization, has intensified demand for our specialized services among Academic Researchers across Casablanca's academic ecosystem.</w:t>
      </w:r>
    </w:p>
    <w:bookmarkEnd w:id="21"/>
    <w:bookmarkStart w:id="22" w:name="iii.-sales-performance-analysis-q3-2023"/>
    <w:p>
      <w:pPr>
        <w:pStyle w:val="Heading2"/>
      </w:pPr>
      <w:r>
        <w:t xml:space="preserve">III. Sales Performance Analysis (Q3 2023)</w:t>
      </w:r>
    </w:p>
    <w:p>
      <w:pPr>
        <w:pStyle w:val="FirstParagraph"/>
      </w:pPr>
      <w:r>
        <w:rPr>
          <w:bCs/>
          <w:b/>
        </w:rPr>
        <w:t xml:space="preserve">Revenue Highlights:</w:t>
      </w:r>
    </w:p>
    <w:p>
      <w:pPr>
        <w:pStyle w:val="BodyText"/>
      </w:pPr>
      <w:r>
        <w:t xml:space="preserve">Total Revenue from Academic Researcher Clients: MAD 1,845,000 (37% YoY growth)</w:t>
      </w:r>
    </w:p>
    <w:p>
      <w:pPr>
        <w:pStyle w:val="BodyText"/>
      </w:pPr>
      <w:r>
        <w:t xml:space="preserve">New Academic Researcher Client Acquisition: 42 institutions (up from 29 in Q2)</w:t>
      </w:r>
    </w:p>
    <w:p>
      <w:pPr>
        <w:pStyle w:val="BodyText"/>
      </w:pPr>
      <w:r>
        <w:t xml:space="preserve">Key Product Sales:</w:t>
      </w:r>
    </w:p>
    <w:p>
      <w:pPr>
        <w:numPr>
          <w:ilvl w:val="0"/>
          <w:numId w:val="1001"/>
        </w:numPr>
        <w:pStyle w:val="Compact"/>
      </w:pPr>
      <w:r>
        <w:t xml:space="preserve">Research Data Management Platforms: +58% revenue share</w:t>
      </w:r>
    </w:p>
    <w:p>
      <w:pPr>
        <w:numPr>
          <w:ilvl w:val="0"/>
          <w:numId w:val="1001"/>
        </w:numPr>
        <w:pStyle w:val="Compact"/>
      </w:pPr>
      <w:r>
        <w:t xml:space="preserve">Instrumentation Leasing Packages: +31% revenue share</w:t>
      </w:r>
    </w:p>
    <w:p>
      <w:pPr>
        <w:numPr>
          <w:ilvl w:val="0"/>
          <w:numId w:val="1001"/>
        </w:numPr>
        <w:pStyle w:val="Compact"/>
      </w:pPr>
      <w:r>
        <w:t xml:space="preserve">Grant Application Consulting Services: +74% revenue share (most rapidly growing segment)</w:t>
      </w:r>
    </w:p>
    <w:p>
      <w:pPr>
        <w:pStyle w:val="FirstParagraph"/>
      </w:pPr>
      <w:r>
        <w:rPr>
          <w:bCs/>
          <w:b/>
        </w:rPr>
        <w:t xml:space="preserve">Geographic Breakdown (Casablanca Metropolitan Area):</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University/Institution</w:t>
            </w:r>
          </w:p>
        </w:tc>
        <w:tc>
          <w:tcPr/>
          <w:p>
            <w:pPr>
              <w:pStyle w:val="Compact"/>
              <w:jc w:val="left"/>
            </w:pPr>
            <w:r>
              <w:t xml:space="preserve">New Clients Added</w:t>
            </w:r>
          </w:p>
        </w:tc>
        <w:tc>
          <w:tcPr/>
          <w:p>
            <w:pPr>
              <w:pStyle w:val="Compact"/>
              <w:jc w:val="left"/>
            </w:pPr>
            <w:r>
              <w:t xml:space="preserve">Revenue Contribution (MAD)</w:t>
            </w:r>
          </w:p>
        </w:tc>
      </w:tr>
      <w:tr>
        <w:tc>
          <w:tcPr/>
          <w:p>
            <w:pPr>
              <w:pStyle w:val="Compact"/>
              <w:jc w:val="left"/>
            </w:pPr>
            <w:r>
              <w:t xml:space="preserve">Hassan II University - Research Centers</w:t>
            </w:r>
          </w:p>
        </w:tc>
        <w:tc>
          <w:tcPr/>
          <w:p>
            <w:pPr>
              <w:pStyle w:val="Compact"/>
              <w:jc w:val="left"/>
            </w:pPr>
            <w:r>
              <w:t xml:space="preserve">12</w:t>
            </w:r>
          </w:p>
        </w:tc>
        <w:tc>
          <w:tcPr/>
          <w:p>
            <w:pPr>
              <w:pStyle w:val="Compact"/>
              <w:jc w:val="left"/>
            </w:pPr>
            <w:r>
              <w:t xml:space="preserve">487,000</w:t>
            </w:r>
          </w:p>
        </w:tc>
      </w:tr>
      <w:tr>
        <w:tc>
          <w:tcPr/>
          <w:p>
            <w:pPr>
              <w:pStyle w:val="Compact"/>
              <w:jc w:val="left"/>
            </w:pPr>
            <w:r>
              <w:t xml:space="preserve">Mohammed VI Polytechnic University (UM6P)</w:t>
            </w:r>
          </w:p>
        </w:tc>
        <w:tc>
          <w:tcPr>
            <w:gridSpan w:val="2"/>
          </w:tcPr>
          <w:p>
            <w:pPr>
              <w:pStyle w:val="Compact"/>
              <w:jc w:val="left"/>
            </w:pPr>
            <w:r>
              <w:t xml:space="preserve">31% of total revenue in Casablanca</w:t>
            </w:r>
          </w:p>
        </w:tc>
      </w:tr>
      <w:tr>
        <w:tc>
          <w:tcPr/>
          <w:p>
            <w:pPr>
              <w:pStyle w:val="Compact"/>
              <w:jc w:val="left"/>
            </w:pPr>
            <w:r>
              <w:t xml:space="preserve">Casablanca Faculty of Sciences</w:t>
            </w:r>
          </w:p>
        </w:tc>
        <w:tc>
          <w:tcPr/>
          <w:p>
            <w:pPr>
              <w:pStyle w:val="Compact"/>
              <w:jc w:val="left"/>
            </w:pPr>
            <w:r>
              <w:t xml:space="preserve">9</w:t>
            </w:r>
          </w:p>
        </w:tc>
        <w:tc>
          <w:tcPr/>
          <w:p>
            <w:pPr>
              <w:pStyle w:val="Compact"/>
              <w:jc w:val="left"/>
            </w:pPr>
            <w:r>
              <w:t xml:space="preserve">295,000</w:t>
            </w:r>
          </w:p>
        </w:tc>
      </w:tr>
      <w:tr>
        <w:tc>
          <w:tcPr/>
          <w:p>
            <w:pPr>
              <w:pStyle w:val="Compact"/>
              <w:jc w:val="left"/>
            </w:pPr>
            <w:r>
              <w:t xml:space="preserve">Total (Casablanca)</w:t>
            </w:r>
          </w:p>
        </w:tc>
        <w:tc>
          <w:tcPr/>
          <w:p>
            <w:pPr>
              <w:pStyle w:val="Compact"/>
              <w:jc w:val="left"/>
            </w:pPr>
            <w:r>
              <w:t xml:space="preserve">42 Institutions</w:t>
            </w:r>
          </w:p>
        </w:tc>
        <w:tc>
          <w:tcPr/>
          <w:p>
            <w:pPr>
              <w:pStyle w:val="Compact"/>
              <w:jc w:val="left"/>
            </w:pPr>
            <w:r>
              <w:rPr>
                <w:u w:val="single"/>
              </w:rPr>
              <w:t xml:space="preserve">MAD 1,845,000</w:t>
            </w:r>
          </w:p>
        </w:tc>
      </w:tr>
    </w:tbl>
    <w:bookmarkEnd w:id="22"/>
    <w:bookmarkStart w:id="23" w:name="X91733b0636d6bb3f46a68656000e951157bd276"/>
    <w:p>
      <w:pPr>
        <w:pStyle w:val="Heading2"/>
      </w:pPr>
      <w:r>
        <w:t xml:space="preserve">IV. Key Account Success Stories: Academic Researcher Impact</w:t>
      </w:r>
    </w:p>
    <w:p>
      <w:pPr>
        <w:pStyle w:val="FirstParagraph"/>
      </w:pPr>
      <w:r>
        <w:t xml:space="preserve">Our sales strategy focused on understanding the unique operational needs of Academic Researchers in Morocco Casablanca has yielded exceptional results. Two notable cases exemplify this:</w:t>
      </w:r>
    </w:p>
    <w:p>
      <w:pPr>
        <w:pStyle w:val="BodyText"/>
      </w:pPr>
      <w:r>
        <w:rPr>
          <w:bCs/>
          <w:b/>
        </w:rPr>
        <w:t xml:space="preserve">Case Study 1: UM6P Biomedical Research Group</w:t>
      </w:r>
      <w:r>
        <w:br/>
      </w:r>
      <w:r>
        <w:t xml:space="preserve">A team of 28 Academic Researchers required advanced genomic sequencing capabilities. We provided a customized instrumentation leasing package with integrated data analytics support. This solution reduced their equipment acquisition costs by 41% and accelerated their research timeline by 3 months, directly contributing to a successful €1.2M EU grant application. The resulting collaboration has generated MAD 320,000 in recurring revenue.</w:t>
      </w:r>
    </w:p>
    <w:p>
      <w:pPr>
        <w:pStyle w:val="BodyText"/>
      </w:pPr>
      <w:r>
        <w:rPr>
          <w:bCs/>
          <w:b/>
        </w:rPr>
        <w:t xml:space="preserve">Case Study 2: Hassan II University Climate Research Initiative</w:t>
      </w:r>
      <w:r>
        <w:br/>
      </w:r>
      <w:r>
        <w:t xml:space="preserve">Facing challenges in data management for large-scale environmental studies, an Academic Researcher team adopted our cloud-based research platform. The solution enabled seamless collaboration across three Moroccan campuses and improved grant compliance by 67%. This single account generated MAD 185,000 in initial sales with a projected annual contract value of MAD 625,000.</w:t>
      </w:r>
    </w:p>
    <w:bookmarkEnd w:id="23"/>
    <w:bookmarkStart w:id="24" w:name="X86f0ca69df51c6a5dda4885e93bd5c629f502b8"/>
    <w:p>
      <w:pPr>
        <w:pStyle w:val="Heading2"/>
      </w:pPr>
      <w:r>
        <w:t xml:space="preserve">V. Strategic Insights: Serving Academic Researchers in Casablanca</w:t>
      </w:r>
    </w:p>
    <w:p>
      <w:pPr>
        <w:pStyle w:val="FirstParagraph"/>
      </w:pPr>
      <w:r>
        <w:t xml:space="preserve">Our analysis reveals three critical success factors for engaging Academic Researchers in Morocco Casablanca:</w:t>
      </w:r>
    </w:p>
    <w:p>
      <w:pPr>
        <w:numPr>
          <w:ilvl w:val="0"/>
          <w:numId w:val="1002"/>
        </w:numPr>
        <w:pStyle w:val="Compact"/>
      </w:pPr>
      <w:r>
        <w:rPr>
          <w:bCs/>
          <w:b/>
        </w:rPr>
        <w:t xml:space="preserve">Cultural Alignment:</w:t>
      </w:r>
      <w:r>
        <w:t xml:space="preserve"> </w:t>
      </w:r>
      <w:r>
        <w:t xml:space="preserve">Successful sales presentations incorporate local academic protocols and demonstrate understanding of Moroccan research priorities (e.g., water security, renewable energy). Our Casablanca sales team achieved 89% client satisfaction through culturally tailored consultations.</w:t>
      </w:r>
    </w:p>
    <w:p>
      <w:pPr>
        <w:numPr>
          <w:ilvl w:val="0"/>
          <w:numId w:val="1002"/>
        </w:numPr>
        <w:pStyle w:val="Compact"/>
      </w:pPr>
      <w:r>
        <w:rPr>
          <w:bCs/>
          <w:b/>
        </w:rPr>
        <w:t xml:space="preserve">Grant Application Synergy:</w:t>
      </w:r>
      <w:r>
        <w:t xml:space="preserve"> </w:t>
      </w:r>
      <w:r>
        <w:t xml:space="preserve">76% of Academic Researchers in Casablanca require assistance with funding applications. We've developed specialized "Grant Accelerator" packages that increased client win rates by 53%, directly boosting our sales pipeline.</w:t>
      </w:r>
    </w:p>
    <w:p>
      <w:pPr>
        <w:numPr>
          <w:ilvl w:val="0"/>
          <w:numId w:val="1002"/>
        </w:numPr>
        <w:pStyle w:val="Compact"/>
      </w:pPr>
      <w:r>
        <w:rPr>
          <w:bCs/>
          <w:b/>
        </w:rPr>
        <w:t xml:space="preserve">Institutional Partnerships:</w:t>
      </w:r>
      <w:r>
        <w:t xml:space="preserve"> </w:t>
      </w:r>
      <w:r>
        <w:t xml:space="preserve">Collaborating with university procurement offices (not just individual researchers) has been pivotal. Our partnership with the Casablanca Universities Consortium secured framework agreements covering 27 institutions, representing a potential revenue stream of MAD 4.2M annually.</w:t>
      </w:r>
    </w:p>
    <w:bookmarkEnd w:id="24"/>
    <w:bookmarkStart w:id="25" w:name="vi.-challenges-and-growth-opportunities"/>
    <w:p>
      <w:pPr>
        <w:pStyle w:val="Heading2"/>
      </w:pPr>
      <w:r>
        <w:t xml:space="preserve">VI. Challenges and Growth Opportunities</w:t>
      </w:r>
    </w:p>
    <w:p>
      <w:pPr>
        <w:pStyle w:val="FirstParagraph"/>
      </w:pPr>
      <w:r>
        <w:t xml:space="preserve">While performance is strong, we face region-specific challenges requiring strategic adjustment:</w:t>
      </w:r>
    </w:p>
    <w:p>
      <w:pPr>
        <w:numPr>
          <w:ilvl w:val="0"/>
          <w:numId w:val="1003"/>
        </w:numPr>
        <w:pStyle w:val="Compact"/>
      </w:pPr>
      <w:r>
        <w:rPr>
          <w:bCs/>
          <w:b/>
        </w:rPr>
        <w:t xml:space="preserve">Logistical Constraints:</w:t>
      </w:r>
      <w:r>
        <w:t xml:space="preserve"> </w:t>
      </w:r>
      <w:r>
        <w:t xml:space="preserve">43% of Academic Researchers report delays in equipment delivery due to customs procedures at Casablanca's port. We're implementing a dedicated Morocco logistics partnership to reduce shipping times by 65%.</w:t>
      </w:r>
    </w:p>
    <w:p>
      <w:pPr>
        <w:numPr>
          <w:ilvl w:val="0"/>
          <w:numId w:val="1003"/>
        </w:numPr>
        <w:pStyle w:val="Compact"/>
      </w:pPr>
      <w:r>
        <w:rPr>
          <w:bCs/>
          <w:b/>
        </w:rPr>
        <w:t xml:space="preserve">Cultural Nuances:</w:t>
      </w:r>
      <w:r>
        <w:t xml:space="preserve"> </w:t>
      </w:r>
      <w:r>
        <w:t xml:space="preserve">Decision-making processes require longer engagement cycles (avg. 8-10 weeks) compared to other regions. Our sales team has increased training on Moroccan academic hierarchy protocols.</w:t>
      </w:r>
    </w:p>
    <w:p>
      <w:pPr>
        <w:numPr>
          <w:ilvl w:val="0"/>
          <w:numId w:val="1003"/>
        </w:numPr>
        <w:pStyle w:val="Compact"/>
      </w:pPr>
      <w:r>
        <w:rPr>
          <w:bCs/>
          <w:b/>
        </w:rPr>
        <w:t xml:space="preserve">Emerging Opportunities:</w:t>
      </w:r>
      <w:r>
        <w:t xml:space="preserve"> </w:t>
      </w:r>
      <w:r>
        <w:t xml:space="preserve">The new Morocco National Research Strategy (2023-2030) creates immediate demand for AI-driven research tools among Academic Researchers. We've developed a pilot program targeting Casablanca's tech-focused universities with 45% projected uptake.</w:t>
      </w:r>
    </w:p>
    <w:bookmarkEnd w:id="25"/>
    <w:bookmarkStart w:id="26" w:name="vii.-strategic-recommendations"/>
    <w:p>
      <w:pPr>
        <w:pStyle w:val="Heading2"/>
      </w:pPr>
      <w:r>
        <w:t xml:space="preserve">VII. Strategic Recommendations</w:t>
      </w:r>
    </w:p>
    <w:p>
      <w:pPr>
        <w:pStyle w:val="FirstParagraph"/>
      </w:pPr>
      <w:r>
        <w:t xml:space="preserve">Based on Q3 performance and market analysis, we recommend:</w:t>
      </w:r>
    </w:p>
    <w:p>
      <w:pPr>
        <w:numPr>
          <w:ilvl w:val="0"/>
          <w:numId w:val="1004"/>
        </w:numPr>
        <w:pStyle w:val="Compact"/>
      </w:pPr>
      <w:r>
        <w:rPr>
          <w:bCs/>
          <w:b/>
        </w:rPr>
        <w:t xml:space="preserve">Expand Casablanca-Specific Sales Team:</w:t>
      </w:r>
      <w:r>
        <w:t xml:space="preserve"> </w:t>
      </w:r>
      <w:r>
        <w:t xml:space="preserve">Hire 3 additional sales specialists with academic research backgrounds to serve the growing demand from Academic Researchers in Morocco's economic capital.</w:t>
      </w:r>
    </w:p>
    <w:p>
      <w:pPr>
        <w:numPr>
          <w:ilvl w:val="0"/>
          <w:numId w:val="1004"/>
        </w:numPr>
        <w:pStyle w:val="Compact"/>
      </w:pPr>
      <w:r>
        <w:rPr>
          <w:bCs/>
          <w:b/>
        </w:rPr>
        <w:t xml:space="preserve">Develop Researcher-Centric Training:</w:t>
      </w:r>
      <w:r>
        <w:t xml:space="preserve"> </w:t>
      </w:r>
      <w:r>
        <w:t xml:space="preserve">Create "Academic Researcher Success" certification for our sales team focusing on Moroccan university workflows and grant requirements.</w:t>
      </w:r>
    </w:p>
    <w:p>
      <w:pPr>
        <w:numPr>
          <w:ilvl w:val="0"/>
          <w:numId w:val="1004"/>
        </w:numPr>
        <w:pStyle w:val="Compact"/>
      </w:pPr>
      <w:r>
        <w:rPr>
          <w:bCs/>
          <w:b/>
        </w:rPr>
        <w:t xml:space="preserve">Leverage Casablanca Innovation Hubs:</w:t>
      </w:r>
      <w:r>
        <w:t xml:space="preserve"> </w:t>
      </w:r>
      <w:r>
        <w:t xml:space="preserve">Partner with existing innovation centers like In5 in Casablanca to co-host research technology showcases targeting Academic Researchers.</w:t>
      </w:r>
    </w:p>
    <w:p>
      <w:pPr>
        <w:numPr>
          <w:ilvl w:val="0"/>
          <w:numId w:val="1004"/>
        </w:numPr>
        <w:pStyle w:val="Compact"/>
      </w:pPr>
      <w:r>
        <w:rPr>
          <w:bCs/>
          <w:b/>
        </w:rPr>
        <w:t xml:space="preserve">Enhance Localized Pricing:</w:t>
      </w:r>
      <w:r>
        <w:t xml:space="preserve"> </w:t>
      </w:r>
      <w:r>
        <w:t xml:space="preserve">Introduce tiered pricing models aligned with Moroccan academic budget cycles, particularly for institutions receiving government funding.</w:t>
      </w:r>
    </w:p>
    <w:bookmarkEnd w:id="26"/>
    <w:bookmarkStart w:id="27" w:name="viii.-conclusion"/>
    <w:p>
      <w:pPr>
        <w:pStyle w:val="Heading2"/>
      </w:pPr>
      <w:r>
        <w:t xml:space="preserve">VIII. Conclusion</w:t>
      </w:r>
    </w:p>
    <w:p>
      <w:pPr>
        <w:pStyle w:val="FirstParagraph"/>
      </w:pPr>
      <w:r>
        <w:t xml:space="preserve">The Morocco Casablanca market represents a high-growth frontier for Academic Researcher support services, demonstrating exceptional ROI potential. Our Q3 2023 sales performance confirms that tailored solutions addressing the specific needs of Academic Researchers in this region drive sustainable growth. With 86% of our Casablanca clients expressing intent to renew or expand services, we are positioned to capture significant market share as Morocco's academic research ecosystem continues its rapid expansion.</w:t>
      </w:r>
    </w:p>
    <w:p>
      <w:pPr>
        <w:pStyle w:val="BodyText"/>
      </w:pPr>
      <w:r>
        <w:t xml:space="preserve">As the primary hub for academic innovation in Morocco, Casablanca demands specialized engagement strategies that respect local research culture while delivering measurable value. Our sales success in this region proves that understanding Academic Researcher workflows—not just selling products—is the key to unlocking growth in emerging markets. The next 12 months will focus on scaling these proven approaches across all Moroccan academic institutions, with Casablanca remaining our strategic anchor for regional expansion.</w:t>
      </w:r>
    </w:p>
    <w:p>
      <w:pPr>
        <w:pStyle w:val="BodyText"/>
      </w:pPr>
      <w:r>
        <w:rPr>
          <w:bCs/>
          <w:b/>
        </w:rPr>
        <w:t xml:space="preserve">Prepared By:</w:t>
      </w:r>
      <w:r>
        <w:t xml:space="preserve"> </w:t>
      </w:r>
      <w:r>
        <w:t xml:space="preserve">Regional Sales Director - North Africa</w:t>
      </w:r>
      <w:r>
        <w:br/>
      </w:r>
      <w:r>
        <w:rPr>
          <w:bCs/>
          <w:b/>
        </w:rPr>
        <w:t xml:space="preserve">Contact:</w:t>
      </w:r>
      <w:r>
        <w:t xml:space="preserve"> </w:t>
      </w:r>
      <w:r>
        <w:t xml:space="preserve">sales-casablanca@moroccobusinesssolutions.com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Academic Researcher Support Services - Morocco Casablanca</dc:title>
  <dc:creator/>
  <dc:language>en</dc:language>
  <cp:keywords/>
  <dcterms:created xsi:type="dcterms:W3CDTF">2026-07-21T06:12:12Z</dcterms:created>
  <dcterms:modified xsi:type="dcterms:W3CDTF">2026-07-21T06:12:12Z</dcterms:modified>
</cp:coreProperties>
</file>

<file path=docProps/custom.xml><?xml version="1.0" encoding="utf-8"?>
<Properties xmlns="http://schemas.openxmlformats.org/officeDocument/2006/custom-properties" xmlns:vt="http://schemas.openxmlformats.org/officeDocument/2006/docPropsVTypes"/>
</file>