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9ea926654adbe1cd30a3c4a0c73c24dad6a1950"/>
    <w:p>
      <w:pPr>
        <w:pStyle w:val="Heading1"/>
      </w:pPr>
      <w:r>
        <w:t xml:space="preserve">Comprehensive Sales Report: Academic Researcher Services in Myanmar Yangon (Q3 2023)</w:t>
      </w:r>
    </w:p>
    <w:bookmarkStart w:id="20" w:name="introduction"/>
    <w:p>
      <w:pPr>
        <w:pStyle w:val="Heading2"/>
      </w:pPr>
      <w:r>
        <w:t xml:space="preserve">Introduction</w:t>
      </w:r>
    </w:p>
    <w:p>
      <w:pPr>
        <w:pStyle w:val="FirstParagraph"/>
      </w:pPr>
      <w:r>
        <w:t xml:space="preserve">This Sales Report details the operational performance and market insights of academic research services provided by our organization within the dynamic educational landscape of Myanmar Yangon. As an established provider of specialized academic support, we serve universities, research institutions, and government bodies across Yangon's burgeoning academic ecosystem. The report synthesizes sales data, market trends, and strategic recommendations tailored to the unique needs of researchers operating in Myanmar's capital city. With Yangon housing over 40 higher education institutions and a rapidly expanding student population exceeding 1 million, the demand for high-quality academic research services has become increasingly critical for institutional growth and national development initiatives.</w:t>
      </w:r>
    </w:p>
    <w:bookmarkEnd w:id="20"/>
    <w:bookmarkStart w:id="21" w:name="Xdb2a3e76bf5bd1d59f88d2eeae1cc66dcfcafdf"/>
    <w:p>
      <w:pPr>
        <w:pStyle w:val="Heading2"/>
      </w:pPr>
      <w:r>
        <w:t xml:space="preserve">Market Analysis: Academic Research Demand in Yangon</w:t>
      </w:r>
    </w:p>
    <w:p>
      <w:pPr>
        <w:pStyle w:val="FirstParagraph"/>
      </w:pPr>
      <w:r>
        <w:t xml:space="preserve">The Yangon market demonstrates exceptional growth potential in academic research support. Recent data from the Ministry of Education indicates a 37% year-on-year increase in research funding allocation for universities, directly driving demand for our services. Key sectors showing accelerated growth include agricultural science (28% increase), public health (42%), and sustainable urban development – all highly relevant to Yangon's challenges as a megacity. Our Academic Research team has identified critical gaps: 68% of Yangon-based researchers report inadequate access to specialized data collection tools, while 55% cite language barriers in international academic collaboration. This creates a significant opportunity for our localized research solutions that bridge these gaps through Myanmar-language support and culturally informed methodologies.</w:t>
      </w:r>
    </w:p>
    <w:bookmarkEnd w:id="21"/>
    <w:bookmarkStart w:id="22" w:name="sales-performance-highlights"/>
    <w:p>
      <w:pPr>
        <w:pStyle w:val="Heading2"/>
      </w:pPr>
      <w:r>
        <w:t xml:space="preserve">Sales Performance Highlights</w:t>
      </w:r>
    </w:p>
    <w:p>
      <w:pPr>
        <w:pStyle w:val="FirstParagraph"/>
      </w:pPr>
      <w:r>
        <w:t xml:space="preserve">Q3 2023 witnessed outstanding performance across all service lines. Total revenue reached MMK 14.7 billion (approx. USD $8.5 million), representing a 41% increase from Q2 and a staggering 197% growth compared to the same period last year. This success stems from strategic partnerships with Yangon University of Economics, Yangon Technological University, and the Myanmar Medical Association – three institutions that collectively contributed 63% of our total sales. Notable achievements include:</w:t>
      </w:r>
    </w:p>
    <w:p>
      <w:pPr>
        <w:numPr>
          <w:ilvl w:val="0"/>
          <w:numId w:val="1001"/>
        </w:numPr>
        <w:pStyle w:val="Compact"/>
      </w:pPr>
      <w:r>
        <w:rPr>
          <w:bCs/>
          <w:b/>
        </w:rPr>
        <w:t xml:space="preserve">Research Proposal Development:</w:t>
      </w:r>
      <w:r>
        <w:t xml:space="preserve"> </w:t>
      </w:r>
      <w:r>
        <w:t xml:space="preserve">Secured contracts for 28 major grant applications (150% YoY growth), including two World Bank-funded projects focused on Yangon's flood resilience infrastructure</w:t>
      </w:r>
    </w:p>
    <w:p>
      <w:pPr>
        <w:numPr>
          <w:ilvl w:val="0"/>
          <w:numId w:val="1001"/>
        </w:numPr>
        <w:pStyle w:val="Compact"/>
      </w:pPr>
      <w:r>
        <w:rPr>
          <w:bCs/>
          <w:b/>
        </w:rPr>
        <w:t xml:space="preserve">Data Analytics Services:</w:t>
      </w:r>
      <w:r>
        <w:t xml:space="preserve"> </w:t>
      </w:r>
      <w:r>
        <w:t xml:space="preserve">Delivered 34 customized datasets for Yangon-based health studies, supporting a UNICEF maternal health initiative in the city</w:t>
      </w:r>
    </w:p>
    <w:p>
      <w:pPr>
        <w:numPr>
          <w:ilvl w:val="0"/>
          <w:numId w:val="1001"/>
        </w:numPr>
        <w:pStyle w:val="Compact"/>
      </w:pPr>
      <w:r>
        <w:rPr>
          <w:bCs/>
          <w:b/>
        </w:rPr>
        <w:t xml:space="preserve">Academic Publication Support:</w:t>
      </w:r>
      <w:r>
        <w:t xml:space="preserve"> </w:t>
      </w:r>
      <w:r>
        <w:t xml:space="preserve">Facilitated 18 high-impact journal submissions (including Nature-indexed publications) by Yangon researchers, with 72% acceptance rate</w:t>
      </w:r>
    </w:p>
    <w:p>
      <w:pPr>
        <w:pStyle w:val="FirstParagraph"/>
      </w:pPr>
      <w:r>
        <w:t xml:space="preserve">Our sales conversion rate improved to 39% – significantly above the national average of 28% – due to our culturally attuned approach. For instance, we developed a Myanmar-language research ethics training module specifically for Yangon's academic community, which became the cornerstone of our most successful institutional partnership with Mawlamyine University in September.</w:t>
      </w:r>
    </w:p>
    <w:bookmarkEnd w:id="22"/>
    <w:bookmarkStart w:id="23" w:name="X6a9398a899efe38757b1b6723a0939b3fe4d95d"/>
    <w:p>
      <w:pPr>
        <w:pStyle w:val="Heading2"/>
      </w:pPr>
      <w:r>
        <w:t xml:space="preserve">Challenges Specific to Myanmar Yangon Operations</w:t>
      </w:r>
    </w:p>
    <w:p>
      <w:pPr>
        <w:pStyle w:val="FirstParagraph"/>
      </w:pPr>
      <w:r>
        <w:t xml:space="preserve">Operating within Yangon presents distinct challenges that directly impact sales performance. The city's complex regulatory environment requires meticulous navigation of the Ministry of Education's research approval protocols, often extending project onboarding by 15-20 days. Infrastructure limitations also affect delivery: unreliable internet connectivity in certain Yangon districts (notably during monsoon season) occasionally delays data transfer for academic projects. Furthermore, cultural nuances require adaptation – our team discovered that traditional Burmese hierarchical structures necessitate direct engagement with department heads rather than junior researchers, a protocol we've since integrated into our sales strategy.</w:t>
      </w:r>
    </w:p>
    <w:p>
      <w:pPr>
        <w:pStyle w:val="BodyText"/>
      </w:pPr>
      <w:r>
        <w:t xml:space="preserve">Financial constraints remain a critical factor. While research funding is growing, many Yangon institutions operate on tight budgets with delayed payment cycles averaging 90 days. We've mitigated this through flexible payment plans and tiered service packages that accommodate varying institutional resources.</w:t>
      </w:r>
    </w:p>
    <w:bookmarkEnd w:id="23"/>
    <w:bookmarkStart w:id="24" w:name="X740188e22849abccd9f5ae3d9a5b91ff5c180ee"/>
    <w:p>
      <w:pPr>
        <w:pStyle w:val="Heading2"/>
      </w:pPr>
      <w:r>
        <w:t xml:space="preserve">Opportunities and Strategic Recommendations</w:t>
      </w:r>
    </w:p>
    <w:p>
      <w:pPr>
        <w:pStyle w:val="FirstParagraph"/>
      </w:pPr>
      <w:r>
        <w:t xml:space="preserve">Yangon's academic landscape offers several high-potential opportunities for expansion. The government's new National Research Strategy (2023-2030) prioritizes research commercialization, creating a favorable environment for our intellectual property-focused services. We recommend immediate action in three areas:</w:t>
      </w:r>
    </w:p>
    <w:p>
      <w:pPr>
        <w:numPr>
          <w:ilvl w:val="0"/>
          <w:numId w:val="1002"/>
        </w:numPr>
        <w:pStyle w:val="Compact"/>
      </w:pPr>
      <w:r>
        <w:rPr>
          <w:bCs/>
          <w:b/>
        </w:rPr>
        <w:t xml:space="preserve">Yangon-Specific Digital Platform:</w:t>
      </w:r>
      <w:r>
        <w:t xml:space="preserve"> </w:t>
      </w:r>
      <w:r>
        <w:t xml:space="preserve">Develop a localized research database with Yangon-specific datasets (e.g., urban air quality indices, traffic patterns) to support researchers' needs – projected to attract 200+ new institutional clients</w:t>
      </w:r>
    </w:p>
    <w:p>
      <w:pPr>
        <w:numPr>
          <w:ilvl w:val="0"/>
          <w:numId w:val="1002"/>
        </w:numPr>
        <w:pStyle w:val="Compact"/>
      </w:pPr>
      <w:r>
        <w:rPr>
          <w:bCs/>
          <w:b/>
        </w:rPr>
        <w:t xml:space="preserve">Researcher Capacity Building:</w:t>
      </w:r>
      <w:r>
        <w:t xml:space="preserve"> </w:t>
      </w:r>
      <w:r>
        <w:t xml:space="preserve">Launch a certification program for Yangon-based academic researchers in data literacy, directly addressing the 68% skill gap identified earlier. This service could generate MMK 3.2 billion in annual revenue within two years</w:t>
      </w:r>
    </w:p>
    <w:p>
      <w:pPr>
        <w:numPr>
          <w:ilvl w:val="0"/>
          <w:numId w:val="1002"/>
        </w:numPr>
        <w:pStyle w:val="Compact"/>
      </w:pPr>
      <w:r>
        <w:rPr>
          <w:bCs/>
          <w:b/>
        </w:rPr>
        <w:t xml:space="preserve">Public-Private Partnerships:</w:t>
      </w:r>
      <w:r>
        <w:t xml:space="preserve"> </w:t>
      </w:r>
      <w:r>
        <w:t xml:space="preserve">Forge alliances with Yangon's growing tech sector (e.g., Myanmar Digital Economy Corporation) to fund research on AI-driven urban solutions – a priority area for the Yangon City Development Committee</w:t>
      </w:r>
    </w:p>
    <w:bookmarkEnd w:id="24"/>
    <w:bookmarkStart w:id="26" w:name="conclusion-the-path-forward"/>
    <w:p>
      <w:pPr>
        <w:pStyle w:val="Heading2"/>
      </w:pPr>
      <w:r>
        <w:t xml:space="preserve">Conclusion: The Path Forward</w:t>
      </w:r>
    </w:p>
    <w:p>
      <w:pPr>
        <w:pStyle w:val="FirstParagraph"/>
      </w:pPr>
      <w:r>
        <w:t xml:space="preserve">This Sales Report confirms that the Academic Research services market in Myanmar Yangon is not merely growing but transforming into a high-value sector with significant revenue potential. Our success demonstrates that culturally intelligent, locally adapted solutions are paramount – a lesson we've internalized through our direct engagement with Yangon's academic community. As an Academic Research provider operating within this vibrant city, we must continue evolving our offerings to meet the specific needs of Yangon-based institutions while maintaining global research standards.</w:t>
      </w:r>
    </w:p>
    <w:p>
      <w:pPr>
        <w:pStyle w:val="BodyText"/>
      </w:pPr>
      <w:r>
        <w:t xml:space="preserve">Looking ahead, we project 25% quarterly growth for Q4 2023 through targeted expansion in Yangon's emerging research hubs like Thaketa and Lanmadaw districts. The key to sustained success will be our unwavering focus on the unique context of Myanmar Yangon – where academic excellence must intersect with practical local application. As the city evolves into a regional knowledge hub, our Sales Report underscores that strategic investment in Academic Research services isn't just profitable; it's essential for Myanmar's educational advancement and socio-economic development. We are committed to being the trusted partner driving this transformation within Yangon's academic ecosystem.</w:t>
      </w:r>
    </w:p>
    <w:bookmarkStart w:id="25" w:name="X0c454dc01992d4f52d53bf24a4c741a44c5b160"/>
    <w:p>
      <w:pPr>
        <w:pStyle w:val="Heading3"/>
      </w:pPr>
      <w:r>
        <w:t xml:space="preserve">Report Prepared By: Global Academic Solutions (Yangon Operations)</w:t>
      </w:r>
    </w:p>
    <w:p>
      <w:pPr>
        <w:pStyle w:val="FirstParagraph"/>
      </w:pPr>
      <w:r>
        <w:t xml:space="preserve">Date: October 26, 2023 | Confidential – Internal Use Only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Services in Myanmar Yangon</dc:title>
  <dc:creator/>
  <dc:language>en</dc:language>
  <cp:keywords/>
  <dcterms:created xsi:type="dcterms:W3CDTF">2026-07-23T11:12:16Z</dcterms:created>
  <dcterms:modified xsi:type="dcterms:W3CDTF">2026-07-23T11:12:16Z</dcterms:modified>
</cp:coreProperties>
</file>

<file path=docProps/custom.xml><?xml version="1.0" encoding="utf-8"?>
<Properties xmlns="http://schemas.openxmlformats.org/officeDocument/2006/custom-properties" xmlns:vt="http://schemas.openxmlformats.org/officeDocument/2006/docPropsVTypes"/>
</file>