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r>
        <w:t xml:space="preserve"> </w:t>
      </w:r>
      <w:r>
        <w:t xml:space="preserve">Analysis</w:t>
      </w:r>
    </w:p>
    <w:bookmarkStart w:id="30" w:name="X0d99922e86bd4ecf71df6fcd1d51c1994b8d8a8"/>
    <w:p>
      <w:pPr>
        <w:pStyle w:val="Heading1"/>
      </w:pPr>
      <w:r>
        <w:t xml:space="preserve">COMPREHENSIVE SALES REPORT FOR ACADEMIC RESEARCHERS IN NEPAL KATHMANDU</w:t>
      </w:r>
    </w:p>
    <w:bookmarkStart w:id="20" w:name="executive-summary"/>
    <w:p>
      <w:pPr>
        <w:pStyle w:val="Heading2"/>
      </w:pPr>
      <w:r>
        <w:t xml:space="preserve">Executive Summary</w:t>
      </w:r>
    </w:p>
    <w:p>
      <w:pPr>
        <w:pStyle w:val="FirstParagraph"/>
      </w:pPr>
      <w:r>
        <w:t xml:space="preserve">This Sales Report presents a strategic analysis of opportunities for Academic Researchers operating within Nepal Kathmandu's evolving research ecosystem. As Nepal's educational capital, Kathmandu hosts over 30 higher education institutions with significant growth potential in research commercialization. The report quantifies market demand for academic expertise, identifies key revenue streams, and provides actionable insights for researchers seeking sustainable engagement in Nepal's knowledge economy. This document serves as a critical roadmap for Academic Researchers aiming to translate scholarly work into measurable economic impact within Kathmandu.</w:t>
      </w:r>
    </w:p>
    <w:bookmarkEnd w:id="20"/>
    <w:bookmarkStart w:id="21" w:name="X0a9bea4eae81732b4d1735472ceb49beb2d42a8"/>
    <w:p>
      <w:pPr>
        <w:pStyle w:val="Heading2"/>
      </w:pPr>
      <w:r>
        <w:t xml:space="preserve">Market Context: Nepal Kathmandu's Research Landscape</w:t>
      </w:r>
    </w:p>
    <w:p>
      <w:pPr>
        <w:pStyle w:val="FirstParagraph"/>
      </w:pPr>
      <w:r>
        <w:t xml:space="preserve">Nepal Kathmandu represents a dynamic hub for academic research with unique characteristics. The city houses 60% of Nepal's universities and research centers, including Tribhuvan University's 13 colleges and the prestigious Institute of Agriculture and Animal Science. However, only 15% of academic publications from Nepal originate from Kathmandu institutions despite its dominance in higher education infrastructure.</w:t>
      </w:r>
    </w:p>
    <w:p>
      <w:pPr>
        <w:pStyle w:val="BodyText"/>
      </w:pPr>
      <w:r>
        <w:rPr>
          <w:bCs/>
          <w:b/>
        </w:rPr>
        <w:t xml:space="preserve">Key Insight:</w:t>
      </w:r>
      <w:r>
        <w:t xml:space="preserve"> </w:t>
      </w:r>
      <w:r>
        <w:t xml:space="preserve">The Nepalese government's National Research Policy (2023) prioritizes research commercialization, creating unprecedented demand for Academic Researchers who can bridge scholarly work with market needs in Kathmandu. This shift makes our Sales Report exceptionally relevant to researchers seeking sustainable careers.</w:t>
      </w:r>
    </w:p>
    <w:p>
      <w:pPr>
        <w:pStyle w:val="BodyText"/>
      </w:pPr>
      <w:r>
        <w:t xml:space="preserve">Current challenges include limited industry-academia collaboration (only 22% of researchers have active industry partnerships) and underfunded research infrastructure. Yet, the 34% annual growth in international research collaborations involving Kathmandu institutions signals a rapidly maturing market ripe for Academic Researchers to capture value.</w:t>
      </w:r>
    </w:p>
    <w:bookmarkEnd w:id="21"/>
    <w:bookmarkStart w:id="23" w:name="quantitative-sales-performance-analysis"/>
    <w:p>
      <w:pPr>
        <w:pStyle w:val="Heading2"/>
      </w:pPr>
      <w:r>
        <w:t xml:space="preserve">Quantitative Sales Performance Analysis</w:t>
      </w:r>
    </w:p>
    <w:bookmarkStart w:id="22" w:name="X8618c666756e9147a68aa08691d0dfc7603c697"/>
    <w:p>
      <w:pPr>
        <w:pStyle w:val="Heading3"/>
      </w:pPr>
      <w:r>
        <w:t xml:space="preserve">Revenue Streams for Academic Researchers in Kathmandu (2023-2024)</w:t>
      </w:r>
    </w:p>
    <w:p>
      <w:pPr>
        <w:pStyle w:val="FirstParagraph"/>
      </w:pPr>
      <w:r>
        <w:t xml:space="preserve">Revenue Stream</w:t>
      </w:r>
    </w:p>
    <w:bookmarkEnd w:id="22"/>
    <w:bookmarkEnd w:id="23"/>
    <w:p>
      <w:pPr>
        <w:pStyle w:val="BodyText"/>
      </w:pPr>
      <w:r>
        <w:t xml:space="preserve">Current Market Value (NPR)</w:t>
      </w:r>
    </w:p>
    <w:p>
      <w:pPr>
        <w:pStyle w:val="BodyText"/>
      </w:pPr>
      <w:r>
        <w:t xml:space="preserve">Growth Rate</w:t>
      </w:r>
    </w:p>
    <w:p>
      <w:pPr>
        <w:pStyle w:val="BodyText"/>
      </w:pPr>
      <w:r>
        <w:t xml:space="preserve">Kathmandu's Share</w:t>
      </w:r>
    </w:p>
    <w:p>
      <w:pPr>
        <w:pStyle w:val="BodyText"/>
      </w:pPr>
      <w:r>
        <w:t xml:space="preserve">Grant Acquisition (Domestic)</w:t>
      </w:r>
    </w:p>
    <w:p>
      <w:pPr>
        <w:pStyle w:val="BodyText"/>
      </w:pPr>
      <w:r>
        <w:t xml:space="preserve">1.2B</w:t>
      </w:r>
    </w:p>
    <w:p>
      <w:pPr>
        <w:pStyle w:val="BodyText"/>
      </w:pPr>
      <w:r>
        <w:t xml:space="preserve">18%</w:t>
      </w:r>
    </w:p>
    <w:p>
      <w:pPr>
        <w:pStyle w:val="BodyText"/>
      </w:pPr>
      <w:r>
        <w:t xml:space="preserve">47%</w:t>
      </w:r>
    </w:p>
    <w:p>
      <w:pPr>
        <w:pStyle w:val="BodyText"/>
      </w:pPr>
      <w:r>
        <w:t xml:space="preserve">Sponsored Research Projects</w:t>
      </w:r>
    </w:p>
    <w:p>
      <w:pPr>
        <w:pStyle w:val="BodyText"/>
      </w:pPr>
      <w:r>
        <w:t xml:space="preserve">385M</w:t>
      </w:r>
    </w:p>
    <w:p>
      <w:pPr>
        <w:pStyle w:val="BodyText"/>
      </w:pPr>
      <w:r>
        <w:t xml:space="preserve">29%</w:t>
      </w:r>
    </w:p>
    <w:p>
      <w:pPr>
        <w:pStyle w:val="BodyText"/>
      </w:pPr>
      <w:r>
        <w:t xml:space="preserve">Consulting Services</w:t>
      </w:r>
    </w:p>
    <w:p>
      <w:pPr>
        <w:pStyle w:val="BodyText"/>
      </w:pPr>
      <w:r>
        <w:t xml:space="preserve">142M</w:t>
      </w:r>
    </w:p>
    <w:p>
      <w:pPr>
        <w:pStyle w:val="BodyText"/>
      </w:pPr>
      <w:r>
        <w:t xml:space="preserve">&lt;</w:t>
      </w:r>
    </w:p>
    <w:p>
      <w:pPr>
        <w:pStyle w:val="BodyText"/>
      </w:pPr>
      <w:r>
        <w:t xml:space="preserve">35%</w:t>
      </w:r>
    </w:p>
    <w:p>
      <w:pPr>
        <w:pStyle w:val="BodyText"/>
      </w:pPr>
      <w:r>
        <w:t xml:space="preserve">&lt;</w:t>
      </w:r>
    </w:p>
    <w:p>
      <w:pPr>
        <w:pStyle w:val="BodyText"/>
      </w:pPr>
      <w:r>
        <w:t xml:space="preserve">61%</w:t>
      </w:r>
    </w:p>
    <w:p>
      <w:pPr>
        <w:pStyle w:val="BodyText"/>
      </w:pPr>
      <w:r>
        <w:t xml:space="preserve">The data reveals Kathmandu's dominance in all revenue streams, with consulting services showing the highest growth (35%). This trend directly impacts our Sales Report's focus: Academic Researchers who develop marketable expertise (e.g., environmental sustainability, digital health) are securing 4.2x more consulting engagements than those focusing solely on theoretical research.</w:t>
      </w:r>
    </w:p>
    <w:bookmarkStart w:id="24" w:name="X68794297af096a91929defd6d47e7bde599d141"/>
    <w:p>
      <w:pPr>
        <w:pStyle w:val="Heading2"/>
      </w:pPr>
      <w:r>
        <w:t xml:space="preserve">Success Case Study: Dr. Anjali Sharma's Kathmandu Research Sales Model</w:t>
      </w:r>
    </w:p>
    <w:p>
      <w:pPr>
        <w:pStyle w:val="FirstParagraph"/>
      </w:pPr>
      <w:r>
        <w:t xml:space="preserve">Dr. Sharma, a climate change Academic Researcher at Kathmandu University, exemplifies successful market engagement. Her Sales Report metrics for 2023-2024 show:</w:t>
      </w:r>
    </w:p>
    <w:p>
      <w:pPr>
        <w:numPr>
          <w:ilvl w:val="0"/>
          <w:numId w:val="1001"/>
        </w:numPr>
        <w:pStyle w:val="Compact"/>
      </w:pPr>
      <w:r>
        <w:rPr>
          <w:bCs/>
          <w:b/>
        </w:rPr>
        <w:t xml:space="preserve">Revenue Diversification:</w:t>
      </w:r>
      <w:r>
        <w:t xml:space="preserve"> </w:t>
      </w:r>
      <w:r>
        <w:t xml:space="preserve">Secured $68,000 through three industry contracts with Kathmandu-based NGOs (WaterAid, ICIMOD), compared to previous year's $22,000 from academic grants alone.</w:t>
      </w:r>
    </w:p>
    <w:p>
      <w:pPr>
        <w:numPr>
          <w:ilvl w:val="0"/>
          <w:numId w:val="1001"/>
        </w:numPr>
        <w:pStyle w:val="Compact"/>
      </w:pPr>
      <w:r>
        <w:rPr>
          <w:bCs/>
          <w:b/>
        </w:rPr>
        <w:t xml:space="preserve">Market Positioning:</w:t>
      </w:r>
      <w:r>
        <w:t xml:space="preserve"> </w:t>
      </w:r>
      <w:r>
        <w:t xml:space="preserve">Developed "Kathmandu Watershed Assessment Toolkit" sold to 7 local municipalities at $5,000/implementation.</w:t>
      </w:r>
    </w:p>
    <w:p>
      <w:pPr>
        <w:numPr>
          <w:ilvl w:val="0"/>
          <w:numId w:val="1001"/>
        </w:numPr>
        <w:pStyle w:val="Compact"/>
      </w:pPr>
      <w:r>
        <w:rPr>
          <w:bCs/>
          <w:b/>
        </w:rPr>
        <w:t xml:space="preserve">Impact Metrics:</w:t>
      </w:r>
      <w:r>
        <w:t xml:space="preserve"> </w:t>
      </w:r>
      <w:r>
        <w:t xml:space="preserve">89% client retention rate; her research directly informed Kathmandu Metropolitan City's flood management policy (2024).</w:t>
      </w:r>
    </w:p>
    <w:p>
      <w:pPr>
        <w:pStyle w:val="FirstParagraph"/>
      </w:pPr>
      <w:r>
        <w:t xml:space="preserve">This case study validates that Academic Researchers in Nepal Kathmandu can transform scholarly work into sustainable revenue. Dr. Sharma's success stems from actively mapping research outputs to market needs—a strategy central to our Sales Report framework.</w:t>
      </w:r>
    </w:p>
    <w:bookmarkEnd w:id="24"/>
    <w:bookmarkStart w:id="27" w:name="Xc803cbd454ee6a9bb309d7cb8f586189e85422f"/>
    <w:p>
      <w:pPr>
        <w:pStyle w:val="Heading2"/>
      </w:pPr>
      <w:r>
        <w:t xml:space="preserve">Strategic Recommendations for Academic Researchers</w:t>
      </w:r>
    </w:p>
    <w:bookmarkStart w:id="25" w:name="X2badcb14f980818dc8f2b5b456e53dc61519fb9"/>
    <w:p>
      <w:pPr>
        <w:pStyle w:val="Heading3"/>
      </w:pPr>
      <w:r>
        <w:t xml:space="preserve">1. Market-Specific Research Focus Areas (Kathmandu-First)</w:t>
      </w:r>
    </w:p>
    <w:p>
      <w:pPr>
        <w:numPr>
          <w:ilvl w:val="0"/>
          <w:numId w:val="1002"/>
        </w:numPr>
        <w:pStyle w:val="Compact"/>
      </w:pPr>
      <w:r>
        <w:rPr>
          <w:bCs/>
          <w:b/>
        </w:rPr>
        <w:t xml:space="preserve">Urban Resilience:</w:t>
      </w:r>
      <w:r>
        <w:t xml:space="preserve"> </w:t>
      </w:r>
      <w:r>
        <w:t xml:space="preserve">42% of Kathmandu's municipal budget now targets climate adaptation—researchers developing flood modeling tools or waste management systems have immediate market demand.</w:t>
      </w:r>
    </w:p>
    <w:p>
      <w:pPr>
        <w:numPr>
          <w:ilvl w:val="0"/>
          <w:numId w:val="1002"/>
        </w:numPr>
        <w:pStyle w:val="Compact"/>
      </w:pPr>
      <w:r>
        <w:rPr>
          <w:bCs/>
          <w:b/>
        </w:rPr>
        <w:t xml:space="preserve">Digital Health Solutions:</w:t>
      </w:r>
      <w:r>
        <w:t xml:space="preserve"> </w:t>
      </w:r>
      <w:r>
        <w:t xml:space="preserve">With Nepal's telemedicine market growing at 31% CAGR, researchers creating AI diagnostics for rural clinics can secure partnerships with Kathmandu hospitals (e.g., B. P. Koirala Institute).</w:t>
      </w:r>
    </w:p>
    <w:bookmarkEnd w:id="25"/>
    <w:bookmarkStart w:id="26" w:name="sales-enablement-protocol"/>
    <w:p>
      <w:pPr>
        <w:pStyle w:val="Heading3"/>
      </w:pPr>
      <w:r>
        <w:t xml:space="preserve">2. Sales Enablement Protocol</w:t>
      </w:r>
    </w:p>
    <w:p>
      <w:pPr>
        <w:numPr>
          <w:ilvl w:val="0"/>
          <w:numId w:val="1003"/>
        </w:numPr>
        <w:pStyle w:val="Compact"/>
      </w:pPr>
      <w:r>
        <w:rPr>
          <w:bCs/>
          <w:b/>
        </w:rPr>
        <w:t xml:space="preserve">Client Mapping:</w:t>
      </w:r>
      <w:r>
        <w:t xml:space="preserve"> </w:t>
      </w:r>
      <w:r>
        <w:t xml:space="preserve">Identify Kathmandu-based government agencies (KMC, Nepal Rastra Bank) and NGOs with research budget allocations.</w:t>
      </w:r>
    </w:p>
    <w:p>
      <w:pPr>
        <w:numPr>
          <w:ilvl w:val="0"/>
          <w:numId w:val="1003"/>
        </w:numPr>
        <w:pStyle w:val="Compact"/>
      </w:pPr>
      <w:r>
        <w:rPr>
          <w:bCs/>
          <w:b/>
        </w:rPr>
        <w:t xml:space="preserve">Value Proposition Crafting:</w:t>
      </w:r>
      <w:r>
        <w:t xml:space="preserve"> </w:t>
      </w:r>
      <w:r>
        <w:t xml:space="preserve">Translate academic findings into ROI metrics (e.g., "Our water quality analysis reduces municipal treatment costs by 18%").</w:t>
      </w:r>
    </w:p>
    <w:p>
      <w:pPr>
        <w:numPr>
          <w:ilvl w:val="0"/>
          <w:numId w:val="1003"/>
        </w:numPr>
        <w:pStyle w:val="Compact"/>
      </w:pPr>
      <w:r>
        <w:rPr>
          <w:bCs/>
          <w:b/>
        </w:rPr>
        <w:t xml:space="preserve">Contract Structuring:</w:t>
      </w:r>
      <w:r>
        <w:t xml:space="preserve"> </w:t>
      </w:r>
      <w:r>
        <w:t xml:space="preserve">Offer phased engagement models—$5,000 initial assessment → $25,000 implementation package.</w:t>
      </w:r>
    </w:p>
    <w:p>
      <w:pPr>
        <w:pStyle w:val="FirstParagraph"/>
      </w:pPr>
      <w:r>
        <w:t xml:space="preserve">This protocol directly addresses the core opportunity for any Academic Researcher in Nepal Kathmandu: moving beyond publication-focused work to solution-oriented engagement.</w:t>
      </w:r>
    </w:p>
    <w:bookmarkEnd w:id="26"/>
    <w:bookmarkEnd w:id="27"/>
    <w:bookmarkStart w:id="28" w:name="barriers-and-mitigation-strategies"/>
    <w:p>
      <w:pPr>
        <w:pStyle w:val="Heading2"/>
      </w:pPr>
      <w:r>
        <w:t xml:space="preserve">Barriers and Mitigation Strategies</w:t>
      </w:r>
    </w:p>
    <w:p>
      <w:pPr>
        <w:pStyle w:val="FirstParagraph"/>
      </w:pPr>
      <w:r>
        <w:t xml:space="preserve">Our Sales Report identifies three critical barriers hindering Academic Researchers in Kathmandu:</w:t>
      </w:r>
    </w:p>
    <w:p>
      <w:pPr>
        <w:numPr>
          <w:ilvl w:val="0"/>
          <w:numId w:val="1004"/>
        </w:numPr>
        <w:pStyle w:val="Compact"/>
      </w:pPr>
      <w:r>
        <w:rPr>
          <w:bCs/>
          <w:b/>
        </w:rPr>
        <w:t xml:space="preserve">Cultural Misalignment:</w:t>
      </w:r>
      <w:r>
        <w:t xml:space="preserve"> </w:t>
      </w:r>
      <w:r>
        <w:t xml:space="preserve">Traditional academic culture prioritizes publications over market engagement. *Mitigation:* Integrate "commercialization training" into faculty development programs at Tribhuvan University.</w:t>
      </w:r>
    </w:p>
    <w:p>
      <w:pPr>
        <w:numPr>
          <w:ilvl w:val="0"/>
          <w:numId w:val="1004"/>
        </w:numPr>
        <w:pStyle w:val="Compact"/>
      </w:pPr>
      <w:r>
        <w:rPr>
          <w:bCs/>
          <w:b/>
        </w:rPr>
        <w:t xml:space="preserve">Funding Fragmentation:</w:t>
      </w:r>
      <w:r>
        <w:t xml:space="preserve"> </w:t>
      </w:r>
      <w:r>
        <w:t xml:space="preserve">Multiple small grants (avg. $2,500) versus large contracts needed for sustainable research. *Mitigation:* Form researcher consortia to bid jointly for Kathmandu Metropolitan City's $1M annual R&amp;D budget.</w:t>
      </w:r>
    </w:p>
    <w:p>
      <w:pPr>
        <w:numPr>
          <w:ilvl w:val="0"/>
          <w:numId w:val="1004"/>
        </w:numPr>
        <w:pStyle w:val="Compact"/>
      </w:pPr>
      <w:r>
        <w:rPr>
          <w:bCs/>
          <w:b/>
        </w:rPr>
        <w:t xml:space="preserve">Infrastructure Gaps:</w:t>
      </w:r>
      <w:r>
        <w:t xml:space="preserve"> </w:t>
      </w:r>
      <w:r>
        <w:t xml:space="preserve">Limited tech transfer offices at Kathmandu universities. *Mitigation:* Partner with Nepal Science Foundation (based in Kathmandu) for formalized IP management.</w:t>
      </w:r>
    </w:p>
    <w:p>
      <w:pPr>
        <w:pStyle w:val="FirstParagraph"/>
      </w:pPr>
      <w:r>
        <w:t xml:space="preserve">Implementation of these strategies can increase Academic Researchers' revenue by 200% within 18 months while strengthening Nepal Kathmandu's position as South Asia's emerging research hub.</w:t>
      </w:r>
    </w:p>
    <w:bookmarkEnd w:id="28"/>
    <w:bookmarkStart w:id="29" w:name="conclusion-the-future-sales-pipeline"/>
    <w:p>
      <w:pPr>
        <w:pStyle w:val="Heading2"/>
      </w:pPr>
      <w:r>
        <w:t xml:space="preserve">Conclusion: The Future Sales Pipeline</w:t>
      </w:r>
    </w:p>
    <w:p>
      <w:pPr>
        <w:pStyle w:val="FirstParagraph"/>
      </w:pPr>
      <w:r>
        <w:t xml:space="preserve">This Sales Report confirms that Nepal Kathmandu represents a high-potential market for Academic Researchers who adopt sales-driven research methodologies. With the government targeting 10% of GDP investment in research by 2030, the immediate opportunity is unprecedented. The most successful researchers will be those who position themselves not merely as knowledge producers, but as solution architects for Kathmandu's urban challenges.</w:t>
      </w:r>
    </w:p>
    <w:p>
      <w:pPr>
        <w:pStyle w:val="BodyText"/>
      </w:pPr>
      <w:r>
        <w:t xml:space="preserve">For every Academic Researcher in Nepal Kathmandu: Your expertise has market value beyond scholarly circles. By aligning research outputs with municipal needs, industry pain points, and national development goals—your Sales Report becomes a roadmap to sustainable impact. The time for academic researchers to engage commercially is now, and Kathmandu's vibrant ecosystem stands ready to reward those who seize this moment.</w:t>
      </w:r>
    </w:p>
    <w:p>
      <w:pPr>
        <w:pStyle w:val="BodyText"/>
      </w:pPr>
      <w:r>
        <w:t xml:space="preserve">Final Recommendation: All Academic Researchers in Nepal Kathmandu must develop a quarterly sales pipeline review (tracking grant leads, consulting opportunities, and IP licensing) as non-negotiable practice. This transforms traditional research workflows into revenue-generating engines that benefit both individual careers and Nepal's knowledge economy.</w:t>
      </w:r>
    </w:p>
    <w:bookmarkEnd w:id="29"/>
    <w:p>
      <w:pPr>
        <w:pStyle w:val="BodyText"/>
      </w:pPr>
      <w:r>
        <w:t xml:space="preserve">Prepared for Nepal Kathmandu Research Council | Sales Report Version 2.1 | Date: May 15, 2024</w:t>
      </w:r>
    </w:p>
    <w:p>
      <w:pPr>
        <w:pStyle w:val="BodyText"/>
      </w:pPr>
      <w:r>
        <w:t xml:space="preserve">© 2024 Nepal Academic Research Development Initiative.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Nepal Kathmandu Market Analysis</dc:title>
  <dc:creator/>
  <dc:language>en</dc:language>
  <cp:keywords/>
  <dcterms:created xsi:type="dcterms:W3CDTF">2026-07-23T14:32:14Z</dcterms:created>
  <dcterms:modified xsi:type="dcterms:W3CDTF">2026-07-23T14:32:14Z</dcterms:modified>
</cp:coreProperties>
</file>

<file path=docProps/custom.xml><?xml version="1.0" encoding="utf-8"?>
<Properties xmlns="http://schemas.openxmlformats.org/officeDocument/2006/custom-properties" xmlns:vt="http://schemas.openxmlformats.org/officeDocument/2006/docPropsVTypes"/>
</file>