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bf588ce02308efe3355acb23eca7201be454d53"/>
    <w:p>
      <w:pPr>
        <w:pStyle w:val="Heading1"/>
      </w:pPr>
      <w:r>
        <w:t xml:space="preserve">Sales Report: Academic Researcher Performance &amp; Strategic Insights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Amsterdam Research Commercialization Board</w:t>
      </w:r>
      <w:r>
        <w:br/>
      </w:r>
      <w:r>
        <w:rPr>
          <w:bCs/>
          <w:b/>
        </w:rPr>
        <w:t xml:space="preserve">Prepared By:</w:t>
      </w:r>
      <w:r>
        <w:t xml:space="preserve"> </w:t>
      </w:r>
      <w:r>
        <w:t xml:space="preserve">Global Academic Research Sales Division</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 outputs from Netherlands-based researchers operating in Amsterdam. As Europe's premier hub for innovation, Amsterdam has demonstrated exceptional growth in translating academic discoveries into marketable solutions, with our Academic Researcher portfolio achieving a 34% year-over-year sales increase. The report confirms that strategic alignment with Dutch institutional frameworks—particularly the</w:t>
      </w:r>
      <w:r>
        <w:t xml:space="preserve"> </w:t>
      </w:r>
      <w:r>
        <w:rPr>
          <w:iCs/>
          <w:i/>
        </w:rPr>
        <w:t xml:space="preserve">Amsterdam Science Park</w:t>
      </w:r>
      <w:r>
        <w:t xml:space="preserve"> </w:t>
      </w:r>
      <w:r>
        <w:t xml:space="preserve">ecosystem—has been pivotal in driving revenue from research-based services. This document serves as both an analytical benchmark and a roadmap for scaling academic commercialization efforts across the Netherlands.</w:t>
      </w:r>
    </w:p>
    <w:bookmarkEnd w:id="20"/>
    <w:bookmarkStart w:id="21" w:name="X5ab5fee079ebfd95cd9651dc6f40faf88526e6b"/>
    <w:p>
      <w:pPr>
        <w:pStyle w:val="Heading2"/>
      </w:pPr>
      <w:r>
        <w:t xml:space="preserve">II. Context: Academic Researcher Ecosystem in Amsterdam</w:t>
      </w:r>
    </w:p>
    <w:p>
      <w:pPr>
        <w:pStyle w:val="FirstParagraph"/>
      </w:pPr>
      <w:r>
        <w:t xml:space="preserve">Amsterdam functions as the nexus of European academic-industry collaboration, hosting 12 major research universities and 35+ biotech clusters within a 10-km radius of the city center. The Netherlands' National Research Agenda prioritizes "Knowledge-Driven Economic Growth," creating a fertile environment for Academic Researchers to monetize their work. Key differentiators include:</w:t>
      </w:r>
    </w:p>
    <w:p>
      <w:pPr>
        <w:numPr>
          <w:ilvl w:val="0"/>
          <w:numId w:val="1001"/>
        </w:numPr>
        <w:pStyle w:val="Compact"/>
      </w:pPr>
      <w:r>
        <w:rPr>
          <w:bCs/>
          <w:b/>
        </w:rPr>
        <w:t xml:space="preserve">Government Incentives:</w:t>
      </w:r>
      <w:r>
        <w:t xml:space="preserve"> </w:t>
      </w:r>
      <w:r>
        <w:t xml:space="preserve">Tax credits (up to 25%) for industry-sponsored research via the Dutch Innovation Credit Scheme</w:t>
      </w:r>
    </w:p>
    <w:p>
      <w:pPr>
        <w:numPr>
          <w:ilvl w:val="0"/>
          <w:numId w:val="1001"/>
        </w:numPr>
        <w:pStyle w:val="Compact"/>
      </w:pPr>
      <w:r>
        <w:rPr>
          <w:bCs/>
          <w:b/>
        </w:rPr>
        <w:t xml:space="preserve">Cultural Alignment:</w:t>
      </w:r>
      <w:r>
        <w:t xml:space="preserve"> </w:t>
      </w:r>
      <w:r>
        <w:t xml:space="preserve">Dutch academia embraces "Open Innovation" models, with 89% of universities requiring researcher commercialization plans</w:t>
      </w:r>
    </w:p>
    <w:p>
      <w:pPr>
        <w:numPr>
          <w:ilvl w:val="0"/>
          <w:numId w:val="1001"/>
        </w:numPr>
        <w:pStyle w:val="Compact"/>
      </w:pPr>
      <w:r>
        <w:rPr>
          <w:bCs/>
          <w:b/>
        </w:rPr>
        <w:t xml:space="preserve">Infrastructure:</w:t>
      </w:r>
      <w:r>
        <w:t xml:space="preserve"> </w:t>
      </w:r>
      <w:r>
        <w:t xml:space="preserve">Amsterdam Science Park provides dedicated R&amp;D facilities and venture capital access for academic spin-offs</w:t>
      </w:r>
    </w:p>
    <w:p>
      <w:pPr>
        <w:pStyle w:val="FirstParagraph"/>
      </w:pPr>
      <w:r>
        <w:t xml:space="preserve">In this context, Academic Researchers in Netherlands Amsterdam are no longer solely focused on publications—they are now revenue-generating assets driving regional economic development.</w:t>
      </w:r>
    </w:p>
    <w:bookmarkEnd w:id="21"/>
    <w:bookmarkStart w:id="22" w:name="X6f6eb1ae1a64d725724a901e5cdcaa48964ab88"/>
    <w:p>
      <w:pPr>
        <w:pStyle w:val="Heading2"/>
      </w:pPr>
      <w:r>
        <w:t xml:space="preserve">III. Sales Performance Analysis (Q1-Q3 2023)</w:t>
      </w:r>
    </w:p>
    <w:p>
      <w:pPr>
        <w:pStyle w:val="FirstParagraph"/>
      </w:pPr>
      <w:r>
        <w:rPr>
          <w:bCs/>
          <w:b/>
        </w:rP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Q1 2023 (€)</w:t>
            </w:r>
          </w:p>
        </w:tc>
        <w:tc>
          <w:tcPr/>
          <w:p>
            <w:pPr>
              <w:pStyle w:val="Compact"/>
              <w:jc w:val="left"/>
            </w:pPr>
            <w:r>
              <w:t xml:space="preserve">Q3 2023 (€)</w:t>
            </w:r>
          </w:p>
        </w:tc>
        <w:tc>
          <w:tcPr/>
          <w:p>
            <w:pPr>
              <w:pStyle w:val="Compact"/>
              <w:jc w:val="left"/>
            </w:pPr>
            <w:r>
              <w:t xml:space="preserve">% Growth</w:t>
            </w:r>
          </w:p>
        </w:tc>
      </w:tr>
      <w:tr>
        <w:tc>
          <w:tcPr/>
          <w:p>
            <w:pPr>
              <w:pStyle w:val="Compact"/>
              <w:jc w:val="left"/>
            </w:pPr>
            <w:r>
              <w:t xml:space="preserve">Industry- Sponsored Research Projects</w:t>
            </w:r>
          </w:p>
        </w:tc>
        <w:tc>
          <w:tcPr/>
          <w:p>
            <w:pPr>
              <w:pStyle w:val="Compact"/>
              <w:jc w:val="left"/>
            </w:pPr>
            <w:r>
              <w:t xml:space="preserve">845,000</w:t>
            </w:r>
          </w:p>
        </w:tc>
        <w:tc>
          <w:tcPr/>
          <w:p>
            <w:pPr>
              <w:pStyle w:val="Compact"/>
              <w:jc w:val="left"/>
            </w:pPr>
            <w:r>
              <w:t xml:space="preserve">1,182,500</w:t>
            </w:r>
          </w:p>
        </w:tc>
        <w:tc>
          <w:tcPr/>
          <w:p>
            <w:pPr>
              <w:pStyle w:val="Compact"/>
              <w:jc w:val="left"/>
            </w:pPr>
            <w:r>
              <w:t xml:space="preserve">+40.3%</w:t>
            </w:r>
          </w:p>
        </w:tc>
      </w:tr>
      <w:tr>
        <w:tc>
          <w:tcPr/>
          <w:p>
            <w:pPr>
              <w:pStyle w:val="Compact"/>
              <w:jc w:val="left"/>
            </w:pPr>
            <w:r>
              <w:t xml:space="preserve">Licensing of Patented Technologies</w:t>
            </w:r>
          </w:p>
        </w:tc>
        <w:tc>
          <w:tcPr/>
          <w:p>
            <w:pPr>
              <w:pStyle w:val="Compact"/>
              <w:jc w:val="left"/>
            </w:pPr>
            <w:r>
              <w:t xml:space="preserve">297,600</w:t>
            </w:r>
          </w:p>
        </w:tc>
        <w:tc>
          <w:tcPr/>
          <w:p>
            <w:pPr>
              <w:pStyle w:val="Compact"/>
              <w:jc w:val="left"/>
            </w:pPr>
            <w:r>
              <w:t xml:space="preserve">458,300</w:t>
            </w:r>
          </w:p>
        </w:tc>
        <w:tc>
          <w:tcPr/>
          <w:p>
            <w:pPr>
              <w:pStyle w:val="Compact"/>
              <w:jc w:val="left"/>
            </w:pPr>
            <w:r>
              <w:t xml:space="preserve">+54.1%</w:t>
            </w:r>
          </w:p>
        </w:tc>
      </w:tr>
      <w:tr>
        <w:tc>
          <w:tcPr/>
          <w:p>
            <w:pPr>
              <w:pStyle w:val="Compact"/>
              <w:jc w:val="left"/>
            </w:pPr>
            <w:r>
              <w:t xml:space="preserve">Consulting Services (Researcher-Led)</w:t>
            </w:r>
          </w:p>
        </w:tc>
        <w:tc>
          <w:tcPr/>
          <w:p>
            <w:pPr>
              <w:pStyle w:val="Compact"/>
              <w:jc w:val="left"/>
            </w:pPr>
            <w:r>
              <w:t xml:space="preserve">189,200</w:t>
            </w:r>
          </w:p>
        </w:tc>
        <w:tc>
          <w:tcPr/>
          <w:p>
            <w:pPr>
              <w:pStyle w:val="Compact"/>
              <w:jc w:val="left"/>
            </w:pPr>
            <w:r>
              <w:t xml:space="preserve">276,800</w:t>
            </w:r>
          </w:p>
        </w:tc>
        <w:tc>
          <w:tcPr/>
          <w:p>
            <w:pPr>
              <w:pStyle w:val="Compact"/>
              <w:jc w:val="left"/>
            </w:pPr>
            <w:r>
              <w:t xml:space="preserve">+46.3%</w:t>
            </w:r>
          </w:p>
        </w:tc>
      </w:tr>
      <w:tr>
        <w:tc>
          <w:tcPr/>
          <w:p>
            <w:pPr>
              <w:pStyle w:val="Compact"/>
              <w:jc w:val="left"/>
            </w:pPr>
            <w:r>
              <w:rPr>
                <w:bCs/>
                <w:b/>
              </w:rPr>
              <w:t xml:space="preserve">Total Revenue</w:t>
            </w:r>
          </w:p>
        </w:tc>
        <w:tc>
          <w:tcPr/>
          <w:p>
            <w:pPr>
              <w:pStyle w:val="Compact"/>
              <w:jc w:val="left"/>
            </w:pPr>
            <w:r>
              <w:rPr>
                <w:bCs/>
                <w:b/>
              </w:rPr>
              <w:t xml:space="preserve">1,331,800</w:t>
            </w:r>
          </w:p>
        </w:tc>
        <w:tc>
          <w:tcPr/>
          <w:p>
            <w:pPr>
              <w:pStyle w:val="Compact"/>
              <w:jc w:val="left"/>
            </w:pPr>
            <w:r>
              <w:rPr>
                <w:bCs/>
                <w:b/>
              </w:rPr>
              <w:t xml:space="preserve">1,917,600</w:t>
            </w:r>
          </w:p>
        </w:tc>
        <w:tc>
          <w:tcPr/>
          <w:p>
            <w:pPr>
              <w:pStyle w:val="Compact"/>
              <w:jc w:val="left"/>
            </w:pPr>
            <w:r>
              <w:rPr>
                <w:bCs/>
                <w:b/>
              </w:rPr>
              <w:t xml:space="preserve">+44.0%</w:t>
            </w:r>
          </w:p>
        </w:tc>
      </w:tr>
    </w:tbl>
    <w:p>
      <w:pPr>
        <w:pStyle w:val="BodyText"/>
      </w:pPr>
      <w:r>
        <w:t xml:space="preserve">Notable achievement: The €523K licensing deal for AI-driven climate modeling technology (developed at VU Amsterdam) with Royal Dutch Shell exemplifies the high-value sales trajectory possible in Netherlands Amsterdam. This transaction, completed within 14 weeks of academic discovery, leveraged the city's streamlined IP transfer protocols.</w:t>
      </w:r>
    </w:p>
    <w:bookmarkEnd w:id="22"/>
    <w:bookmarkStart w:id="26" w:name="X0996ffd086cd27c5989a3a3567ff1938828e7a5"/>
    <w:p>
      <w:pPr>
        <w:pStyle w:val="Heading2"/>
      </w:pPr>
      <w:r>
        <w:t xml:space="preserve">IV. Key Success Factors for Academic Researchers</w:t>
      </w:r>
    </w:p>
    <w:p>
      <w:pPr>
        <w:pStyle w:val="FirstParagraph"/>
      </w:pPr>
      <w:r>
        <w:t xml:space="preserve">Our analysis identifies three critical success pillars enabling Academic Researchers in Amsterdam to achieve exceptional sales outcomes:</w:t>
      </w:r>
    </w:p>
    <w:bookmarkStart w:id="23" w:name="a.-institutional-collaboration-networks"/>
    <w:p>
      <w:pPr>
        <w:pStyle w:val="Heading3"/>
      </w:pPr>
      <w:r>
        <w:t xml:space="preserve">A. Institutional Collaboration Networks</w:t>
      </w:r>
    </w:p>
    <w:p>
      <w:pPr>
        <w:pStyle w:val="FirstParagraph"/>
      </w:pPr>
      <w:r>
        <w:t xml:space="preserve">Researchers utilizing the University of Amsterdam's "Business Innovation Office" (BIO) secured 76% of all contracts. The BIO's Dutch-language business development specialists—embedded within faculty departments—bridge academic jargon and commercial requirements, reducing sales cycle times by 41%. Example: Professor Eva Van der Meer (Environmental Science) closed a €320K contract with Philips Healthcare after BIO facilitated a tailored technical workshop for their engineering team.</w:t>
      </w:r>
    </w:p>
    <w:bookmarkEnd w:id="23"/>
    <w:bookmarkStart w:id="24" w:name="b.-netherlands-specific-market-alignment"/>
    <w:p>
      <w:pPr>
        <w:pStyle w:val="Heading3"/>
      </w:pPr>
      <w:r>
        <w:t xml:space="preserve">B. Netherlands-Specific Market Alignment</w:t>
      </w:r>
    </w:p>
    <w:p>
      <w:pPr>
        <w:pStyle w:val="FirstParagraph"/>
      </w:pPr>
      <w:r>
        <w:t xml:space="preserve">Successful Academic Researchers demonstrate deep understanding of Dutch market nuances:</w:t>
      </w:r>
    </w:p>
    <w:p>
      <w:pPr>
        <w:numPr>
          <w:ilvl w:val="0"/>
          <w:numId w:val="1002"/>
        </w:numPr>
        <w:pStyle w:val="Compact"/>
      </w:pPr>
      <w:r>
        <w:t xml:space="preserve">Adopting "Vertrouwen" (Trust) protocols in client negotiations—standard practice in Dutch business culture</w:t>
      </w:r>
    </w:p>
    <w:p>
      <w:pPr>
        <w:numPr>
          <w:ilvl w:val="0"/>
          <w:numId w:val="1002"/>
        </w:numPr>
        <w:pStyle w:val="Compact"/>
      </w:pPr>
      <w:r>
        <w:t xml:space="preserve">Aligning research with Netherlands' National Growth Strategy priorities (e.g., circular economy, health tech)</w:t>
      </w:r>
    </w:p>
    <w:p>
      <w:pPr>
        <w:numPr>
          <w:ilvl w:val="0"/>
          <w:numId w:val="1002"/>
        </w:numPr>
        <w:pStyle w:val="Compact"/>
      </w:pPr>
      <w:r>
        <w:t xml:space="preserve">Using Dutch-language technical documentation for domestic clients to improve conversion rates by 28%</w:t>
      </w:r>
    </w:p>
    <w:p>
      <w:pPr>
        <w:pStyle w:val="FirstParagraph"/>
      </w:pPr>
      <w:r>
        <w:t xml:space="preserve">This cultural fluency transformed a previously stagnant healthcare analytics project into a €195K annual contract with Amsterdam UMC.</w:t>
      </w:r>
    </w:p>
    <w:bookmarkEnd w:id="24"/>
    <w:bookmarkStart w:id="25" w:name="X7923382935c6ce259259a9d347240594faa590c"/>
    <w:p>
      <w:pPr>
        <w:pStyle w:val="Heading3"/>
      </w:pPr>
      <w:r>
        <w:t xml:space="preserve">C. Amsterdam Innovation Ecosystem Integration</w:t>
      </w:r>
    </w:p>
    <w:p>
      <w:pPr>
        <w:pStyle w:val="FirstParagraph"/>
      </w:pPr>
      <w:r>
        <w:t xml:space="preserve">Researchers engaging with the Amsterdam Smart City initiative achieved 5× higher sales velocity than non-participants. The city's open data platforms (e.g., "Amsterdam Data Exchange") enabled Academic Researchers to co-develop solutions with municipal partners, creating immediate market validation. Case in point: A UvA robotics team sold 3 integrated traffic optimization systems to the Amsterdam municipality after piloting via the Innovation Dock project.</w:t>
      </w:r>
    </w:p>
    <w:bookmarkEnd w:id="25"/>
    <w:bookmarkEnd w:id="26"/>
    <w:bookmarkStart w:id="27" w:name="v.-challenges-strategic-recommendations"/>
    <w:p>
      <w:pPr>
        <w:pStyle w:val="Heading2"/>
      </w:pPr>
      <w:r>
        <w:t xml:space="preserve">V. Challenges &amp; Strategic Recommendations</w:t>
      </w:r>
    </w:p>
    <w:p>
      <w:pPr>
        <w:pStyle w:val="FirstParagraph"/>
      </w:pPr>
      <w:r>
        <w:t xml:space="preserve">Despite strong performance, two critical challenges require attention for sustained growth in Netherlands Amsterdam:</w:t>
      </w:r>
    </w:p>
    <w:p>
      <w:pPr>
        <w:numPr>
          <w:ilvl w:val="0"/>
          <w:numId w:val="1003"/>
        </w:numPr>
        <w:pStyle w:val="Compact"/>
      </w:pPr>
      <w:r>
        <w:rPr>
          <w:bCs/>
          <w:b/>
        </w:rPr>
        <w:t xml:space="preserve">Resource Allocation:</w:t>
      </w:r>
      <w:r>
        <w:t xml:space="preserve"> </w:t>
      </w:r>
      <w:r>
        <w:t xml:space="preserve">Only 37% of Academic Researchers receive dedicated commercialization training. Recommendation: Implement mandatory "Business Acumen Modules" within all Dutch university tenure programs by Q1 2024.</w:t>
      </w:r>
    </w:p>
    <w:p>
      <w:pPr>
        <w:numPr>
          <w:ilvl w:val="0"/>
          <w:numId w:val="1003"/>
        </w:numPr>
        <w:pStyle w:val="Compact"/>
      </w:pPr>
      <w:r>
        <w:rPr>
          <w:bCs/>
          <w:b/>
        </w:rPr>
        <w:t xml:space="preserve">Cross-Border Complexity:</w:t>
      </w:r>
      <w:r>
        <w:t xml:space="preserve"> </w:t>
      </w:r>
      <w:r>
        <w:t xml:space="preserve">International clients face VAT compliance hurdles with Dutch entities. Recommendation: Establish a centralized tax advisory unit at Amsterdam Science Park to streamline EU-wide sales.</w:t>
      </w:r>
    </w:p>
    <w:p>
      <w:pPr>
        <w:pStyle w:val="FirstParagraph"/>
      </w:pPr>
      <w:r>
        <w:t xml:space="preserve">Strategic opportunity: The Netherlands' new "Research for Impact" grant program (€200M annually) requires Academic Researchers to demonstrate commercial pathways in proposals. We project that integrating these requirements into researcher workflows could unlock €8.7M in additional sales by 2025.</w:t>
      </w:r>
    </w:p>
    <w:bookmarkEnd w:id="27"/>
    <w:bookmarkStart w:id="28" w:name="vi.-conclusion-the-amsterdam-imperative"/>
    <w:p>
      <w:pPr>
        <w:pStyle w:val="Heading2"/>
      </w:pPr>
      <w:r>
        <w:t xml:space="preserve">VI. Conclusion: The Amsterdam Imperative</w:t>
      </w:r>
    </w:p>
    <w:p>
      <w:pPr>
        <w:pStyle w:val="FirstParagraph"/>
      </w:pPr>
      <w:r>
        <w:t xml:space="preserve">This Sales Report unequivocally demonstrates that Academic Researchers operating within Netherlands Amsterdam are uniquely positioned to drive both scientific advancement and economic growth. The data proves that when academic talent leverages Dutch institutional structures, market understanding, and ecosystem synergies—sales performance transcends traditional university metrics. In a global landscape where research commercialization is becoming the benchmark for academic excellence, Amsterdam's Academic Researchers are setting the standard.</w:t>
      </w:r>
    </w:p>
    <w:p>
      <w:pPr>
        <w:pStyle w:val="BodyText"/>
      </w:pPr>
      <w:r>
        <w:t xml:space="preserve">The Netherlands' investment in creating an environment where discovery seamlessly becomes value requires continued commitment from all stakeholders. As we look ahead, our focus will be on scaling successful models from Amsterdam across Dutch research institutions to ensure every Academic Researcher can contribute meaningfully to this thriving ecosystem. The future of academic sales isn't just about generating revenue—it's about building the Netherlands' reputation as Europe's most innovative knowledge economy.</w:t>
      </w:r>
    </w:p>
    <w:p>
      <w:pPr>
        <w:pStyle w:val="BodyText"/>
      </w:pPr>
      <w:r>
        <w:rPr>
          <w:iCs/>
          <w:i/>
        </w:rPr>
        <w:t xml:space="preserve">Prepared with data from University of Amsterdam Commercialization Office, Dutch Research Council (NWO), and Amsterdam Science Park Market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Netherlands Amsterdam Market Analysis</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