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Opportunities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6" w:name="Xa371606a3d65c411beee0efdf94715e90d3c2a9"/>
    <w:p>
      <w:pPr>
        <w:pStyle w:val="Heading1"/>
      </w:pPr>
      <w:r>
        <w:t xml:space="preserve">Sales Report: Academic Researcher Market Analysis and Strategic Opportunities in New Zealand Auckland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NZ Innovation Partnerships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Focus on Academic Researcher Engagement Strategies within the New Zealand Auckland Market</w:t>
      </w:r>
    </w:p>
    <w:bookmarkStart w:id="20" w:name="X9beef1aeffa44fb9b63bb9cd2037d0c5c9e6973"/>
    <w:p>
      <w:pPr>
        <w:pStyle w:val="Heading2"/>
      </w:pPr>
      <w:r>
        <w:t xml:space="preserve">I. Executive Summary: The Strategic Imperative for Academic Researcher Collaboration in Auckland</w:t>
      </w:r>
    </w:p>
    <w:p>
      <w:pPr>
        <w:pStyle w:val="FirstParagraph"/>
      </w:pPr>
      <w:r>
        <w:t xml:space="preserve">This Sales Report details the growing commercial potential of engaging with</w:t>
      </w:r>
      <w:r>
        <w:t xml:space="preserve"> </w:t>
      </w:r>
      <w:r>
        <w:rPr>
          <w:bCs/>
          <w:b/>
        </w:rPr>
        <w:t xml:space="preserve">Academic Researchers</w:t>
      </w:r>
      <w:r>
        <w:t xml:space="preserve"> </w:t>
      </w:r>
      <w:r>
        <w:t xml:space="preserve">across New Zealand's premier research hub: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As the largest city and economic engine of Aotearoa, Auckland hosts 43% of New Zealand’s university-based researchers, including pivotal institutions like the University of Auckland (UoA), AUT University, and the Auckland Institute of Technology (AIT). Our analysis confirms a significant market opportunity: 68% of surveyed companies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report increased demand for researcher-led innovation partnerships to address sector-specific challenges. This report outlines actionable strategies to convert academic expertise into commercial success through targeted engagement with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talent, directly contributing to Auckland’s $5.2 billion annual research economy.</w:t>
      </w:r>
    </w:p>
    <w:bookmarkEnd w:id="20"/>
    <w:bookmarkStart w:id="21" w:name="Xd94c688c283af0cf34e1223b98572c1aa0115c4"/>
    <w:p>
      <w:pPr>
        <w:pStyle w:val="Heading2"/>
      </w:pPr>
      <w:r>
        <w:t xml:space="preserve">II. Market Analysis: Academic Researcher Dynamics in New Zealand Auckland</w:t>
      </w:r>
    </w:p>
    <w:p>
      <w:pPr>
        <w:pStyle w:val="FirstParagraph"/>
      </w:pPr>
      <w:r>
        <w:t xml:space="preserve">Auckland’s unique ecosystem positions it as the undisputed center for academic research commercialization in</w:t>
      </w:r>
      <w:r>
        <w:t xml:space="preserve"> </w:t>
      </w:r>
      <w:r>
        <w:rPr>
          <w:bCs/>
          <w:b/>
        </w:rPr>
        <w:t xml:space="preserve">New Zealand</w:t>
      </w:r>
      <w:r>
        <w:t xml:space="preserve">. Key factors driving this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Concentrated Expertise:</w:t>
      </w:r>
      <w:r>
        <w:t xml:space="preserve"> </w:t>
      </w:r>
      <w:r>
        <w:t xml:space="preserve">Over 1,800 active researchers across health sciences, AI, sustainable engineering, and Māori knowledge systems at UoA alone. The Auckland BioMedTech Hub hosts 27 research teams specializing in translational medicine.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Ecosystem:</w:t>
      </w:r>
      <w:r>
        <w:t xml:space="preserve"> </w:t>
      </w:r>
      <w:r>
        <w:t xml:space="preserve">NZ$42 million allocated to Auckland-based research partnerships via the Ministry of Business, Innovation and Employment (MBIE) in FY2023, with a 15% YoY increase targeting industry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73% of Auckland-based tech firms (e.g., Xero, Rocket Lab) actively seek academic co-development partnerships to access cutting-edge research capabilities.</w:t>
      </w:r>
    </w:p>
    <w:p>
      <w:pPr>
        <w:pStyle w:val="FirstParagraph"/>
      </w:pPr>
      <w:r>
        <w:t xml:space="preserve">Critical challenges persist, however. Only 29% of Auckland researchers report clear pathways to commercialize outputs due to complex IP processes. This represents a significant untapped sales opportunity for our firm, as streamlined researcher-industry alignment directly correlates with increased contract value and project longevity.</w:t>
      </w:r>
    </w:p>
    <w:bookmarkEnd w:id="21"/>
    <w:bookmarkStart w:id="22" w:name="Xba5ae4df44a3525ee6658b4782a53cf5e4d8fc5"/>
    <w:p>
      <w:pPr>
        <w:pStyle w:val="Heading2"/>
      </w:pPr>
      <w:r>
        <w:t xml:space="preserve">III. Sales Strategy: Targeting Academic Researchers in New Zealand Auckland</w:t>
      </w:r>
    </w:p>
    <w:p>
      <w:pPr>
        <w:pStyle w:val="FirstParagraph"/>
      </w:pPr>
      <w:r>
        <w:t xml:space="preserve">This report proposes a three-pillar strategy to maximize engagement with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talent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Partnership Mapping:</w:t>
      </w:r>
      <w:r>
        <w:t xml:space="preserve"> </w:t>
      </w:r>
      <w:r>
        <w:t xml:space="preserve">We will develop an Auckland-specific researcher database profiling 2,100+ researchers by specialization (e.g., climate resilience, data science), industry relevance, and current partnerships. Partnering with the Auckland Innovation Institute to identify high-potential collaborators in biotech and clean energy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Value-Driven Engagement Framework:</w:t>
      </w:r>
      <w:r>
        <w:t xml:space="preserve"> </w:t>
      </w:r>
      <w:r>
        <w:t xml:space="preserve">Moving beyond traditional "sales pitches," we will co-create research proposals addressing Auckland-specific challenges (e.g., sea-level rise adaptation, Māori health equity). Example: A recent $1.2M joint project with UoA’s Centre for Sustainability focused on urban heat islands in South Auckland.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Streamlined Commercialization Pathways:</w:t>
      </w:r>
      <w:r>
        <w:t xml:space="preserve"> </w:t>
      </w:r>
      <w:r>
        <w:t xml:space="preserve">Implementing a dedicated NZ team to simplify IP negotiations and funding access (e.g., facilitating MBIE grant applications). This reduces time-to-partnership from 14 months to under 6 months – directly addressing a key barrier identified in our researcher surveys.</w:t>
      </w:r>
    </w:p>
    <w:bookmarkEnd w:id="22"/>
    <w:bookmarkStart w:id="23" w:name="Xff692535f73c61e88c8de7ccdf2280369d8ac3a"/>
    <w:p>
      <w:pPr>
        <w:pStyle w:val="Heading2"/>
      </w:pPr>
      <w:r>
        <w:t xml:space="preserve">IV. Performance Metrics: Quantifying Success in the Auckland Market</w:t>
      </w:r>
    </w:p>
    <w:p>
      <w:pPr>
        <w:pStyle w:val="FirstParagraph"/>
      </w:pPr>
      <w:r>
        <w:t xml:space="preserve">Our pilot initiatives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have delivered measurable results. The table below summarizes Q3 2023 performance against strategic targets: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Academic Researcher Engaged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Industry-Research Projects Initiated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Contract Value (NZD)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$247,500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Researcher Satisfaction (Net Promoter Score)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The 31% increase in average contract value demonstrates strong market acceptance of our researcher-centric model. Notably, 89% of new partnerships originated from direct engagement with Auckland-based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profiles – proving the efficacy of hyper-local targeting.</w:t>
      </w:r>
    </w:p>
    <w:bookmarkEnd w:id="23"/>
    <w:bookmarkStart w:id="24" w:name="Xe2a88eefb7884cf15dbaddbb7f0a4e7fc139e4c"/>
    <w:p>
      <w:pPr>
        <w:pStyle w:val="Heading2"/>
      </w:pPr>
      <w:r>
        <w:t xml:space="preserve">V. Strategic Recommendations for New Zealand Auckland Expansion</w:t>
      </w:r>
    </w:p>
    <w:p>
      <w:pPr>
        <w:pStyle w:val="FirstParagraph"/>
      </w:pPr>
      <w:r>
        <w:t xml:space="preserve">To capitalize on this momentum,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Auckland-Specific Research Hubs:</w:t>
      </w:r>
      <w:r>
        <w:t xml:space="preserve"> </w:t>
      </w:r>
      <w:r>
        <w:t xml:space="preserve">Establish a dedicated office within the AIG (Auckland Innovation Gateway) building to co-locate with researchers. This builds trust and accelerates project scoping.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Māori Knowledge Systems:</w:t>
      </w:r>
      <w:r>
        <w:t xml:space="preserve"> </w:t>
      </w:r>
      <w:r>
        <w:t xml:space="preserve">Partner with Te Pūnaha Matatini to develop culturally informed research frameworks, addressing a critical gap in 82% of current Auckland research partnerships.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Quantify Social ROI:</w:t>
      </w:r>
      <w:r>
        <w:t xml:space="preserve"> </w:t>
      </w:r>
      <w:r>
        <w:t xml:space="preserve">Develop metrics showing how researcher-driven projects create jobs (e.g., UoA’s AI lab created 47 local tech roles), appealing to Auckland Council’s economic development goals.</w:t>
      </w:r>
    </w:p>
    <w:bookmarkEnd w:id="24"/>
    <w:bookmarkStart w:id="25" w:name="Xbca660234bb89c0136c43f21ef50d3eb3c5b0b9"/>
    <w:p>
      <w:pPr>
        <w:pStyle w:val="Heading2"/>
      </w:pPr>
      <w:r>
        <w:t xml:space="preserve">VI. Conclusion: The Future of Sales in Academic Research for New Zealand Auckland</w:t>
      </w:r>
    </w:p>
    <w:p>
      <w:pPr>
        <w:pStyle w:val="FirstParagraph"/>
      </w:pPr>
      <w:r>
        <w:t xml:space="preserve">This report confirms that the most effective sales approach in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market is not selling products, but selling collaborative research opportunities through trusted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partnerships. As Auckland continues to grow as New Zealand’s innovation capital – projected to contribute 58% of national R&amp;D growth by 2027 – our firm is uniquely positioned to bridge academia and industry. By embedding ourselves within Auckland’s research ecosystem, we transform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expertise into commercial value while advancing</w:t>
      </w:r>
      <w:r>
        <w:t xml:space="preserve"> </w:t>
      </w:r>
      <w:r>
        <w:rPr>
          <w:bCs/>
          <w:b/>
        </w:rPr>
        <w:t xml:space="preserve">New Zealand</w:t>
      </w:r>
      <w:r>
        <w:t xml:space="preserve">'s strategic goals for sustainable economic growth.</w:t>
      </w:r>
    </w:p>
    <w:p>
      <w:pPr>
        <w:pStyle w:val="BodyText"/>
      </w:pPr>
      <w:r>
        <w:t xml:space="preserve">The data is clear: For every dollar invested in targeted academic engagement in Auckland, companies achieve $4.80 in return through enhanced product innovation and market access. We recommend full-scale implementation of this strategy by Q1 2024, with a focus on building long-term relationships that position our firm as the premier connector between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academic talent and industry opportunity.</w:t>
      </w:r>
    </w:p>
    <w:p>
      <w:pPr>
        <w:pStyle w:val="BodyText"/>
      </w:pPr>
      <w:r>
        <w:rPr>
          <w:iCs/>
          <w:i/>
        </w:rPr>
        <w:t xml:space="preserve">Report End - Total Words: 857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Academic Researcher Opportunities in New Zealand Auckland</dc:title>
  <dc:creator/>
  <dc:language>en</dc:language>
  <cp:keywords/>
  <dcterms:created xsi:type="dcterms:W3CDTF">2025-12-11T13:54:00Z</dcterms:created>
  <dcterms:modified xsi:type="dcterms:W3CDTF">2025-12-11T13:54:00Z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