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Wellington,</w:t>
      </w:r>
      <w:r>
        <w:t xml:space="preserve"> </w:t>
      </w:r>
      <w:r>
        <w:t xml:space="preserve">New</w:t>
      </w:r>
      <w:r>
        <w:t xml:space="preserve"> </w:t>
      </w:r>
      <w:r>
        <w:t xml:space="preserve">Zealand</w:t>
      </w:r>
    </w:p>
    <w:bookmarkStart w:id="31" w:name="Xb9dbef635a3957be6d335150cfa5f594e9734dd"/>
    <w:p>
      <w:pPr>
        <w:pStyle w:val="Heading1"/>
      </w:pPr>
      <w:r>
        <w:t xml:space="preserve">SALES REPORT FOR ACADEMIC RESEARCHER</w:t>
      </w:r>
      <w:r>
        <w:br/>
      </w:r>
      <w:r>
        <w:t xml:space="preserve">Wellington, New Zealand (Q3 2023)</w:t>
      </w:r>
    </w:p>
    <w:p>
      <w:pPr>
        <w:pStyle w:val="FirstParagraph"/>
      </w:pPr>
      <w:r>
        <w:rPr>
          <w:bCs/>
          <w:b/>
        </w:rPr>
        <w:t xml:space="preserve">Prepared For:</w:t>
      </w:r>
      <w:r>
        <w:t xml:space="preserve"> </w:t>
      </w:r>
      <w:r>
        <w:t xml:space="preserve">Office of Research Commercialization, Victoria University of Wellington</w:t>
      </w:r>
    </w:p>
    <w:p>
      <w:pPr>
        <w:pStyle w:val="BodyText"/>
      </w:pPr>
      <w:r>
        <w:rPr>
          <w:bCs/>
          <w:b/>
        </w:rPr>
        <w:t xml:space="preserve">Prepared By:</w:t>
      </w:r>
      <w:r>
        <w:t xml:space="preserve"> </w:t>
      </w:r>
      <w:r>
        <w:t xml:space="preserve">Dr. Eleanor Vance, Senior Academic Researcher (Environmental Sustainability)</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commercialization activities and strategic engagements of an Academic Researcher operating within the New Zealand Wellington ecosystem. As a key contributor to Victoria University's research portfolio, this report demonstrates how academic inquiry directly translates into tangible economic value for New Zealand's innovation landscape. During Q3 2023, significant progress was achieved in securing industry partnerships and grant funding—evidence of successful "sales" of research expertise within the Wellington market. The focus on sustainable technology solutions has positioned this Academic Researcher as a critical asset in New Zealand's national strategy for environmental innovation.</w:t>
      </w:r>
    </w:p>
    <w:bookmarkEnd w:id="20"/>
    <w:bookmarkStart w:id="22" w:name="strategic-context-why-wellington-matters"/>
    <w:p>
      <w:pPr>
        <w:pStyle w:val="Heading2"/>
      </w:pPr>
      <w:r>
        <w:t xml:space="preserve">Strategic Context: Why Wellington Matters</w:t>
      </w:r>
    </w:p>
    <w:p>
      <w:pPr>
        <w:pStyle w:val="FirstParagraph"/>
      </w:pPr>
      <w:r>
        <w:t xml:space="preserve">Wellington serves as New Zealand's primary hub for public-sector research and innovation, housing the Ministry of Business, Innovation and Employment (MBIE), Crown Research Institutes (CRIs), and key industry clusters. As an Academic Researcher based in this dynamic city, our work directly aligns with Wellington's 2050 Climate Action Plan and the Government's Innovation Vision 2050. This localized focus ensures that all research output addresses urgent regional challenges—making "sales" of academic expertise highly targeted and impactful within New Zealand.</w:t>
      </w:r>
    </w:p>
    <w:bookmarkStart w:id="21" w:name="X8d952c3afac8f40b1da7505db938e25c1623465"/>
    <w:p>
      <w:pPr>
        <w:pStyle w:val="Heading3"/>
      </w:pPr>
      <w:r>
        <w:t xml:space="preserve">Key Sales Achievement: $487,000 in Commercialized Research Funding</w:t>
      </w:r>
    </w:p>
    <w:p>
      <w:pPr>
        <w:pStyle w:val="FirstParagraph"/>
      </w:pPr>
      <w:r>
        <w:t xml:space="preserve">This represents a 22% increase over Q2 2023, securing three major industry partnerships through strategic sales outreach. All deals were closed within New Zealand Wellington, demonstrating the power of localized academic-industry engagement.</w:t>
      </w:r>
    </w:p>
    <w:bookmarkEnd w:id="21"/>
    <w:bookmarkEnd w:id="22"/>
    <w:bookmarkStart w:id="26" w:name="quarterly-sales-performance-breakdown"/>
    <w:p>
      <w:pPr>
        <w:pStyle w:val="Heading2"/>
      </w:pPr>
      <w:r>
        <w:t xml:space="preserve">Quarterly Sales Performance Breakdown</w:t>
      </w:r>
    </w:p>
    <w:bookmarkStart w:id="23" w:name="Xcf5d475c276763166207818e1e6486ff78c00d7"/>
    <w:p>
      <w:pPr>
        <w:pStyle w:val="Heading3"/>
      </w:pPr>
      <w:r>
        <w:t xml:space="preserve">1. Industry Partnership Development (Wellington Focus)</w:t>
      </w:r>
    </w:p>
    <w:p>
      <w:pPr>
        <w:pStyle w:val="FirstParagraph"/>
      </w:pPr>
      <w:r>
        <w:t xml:space="preserve">The Academic Researcher secured two new industry partnerships in Q3, both with Wellington-based companies:</w:t>
      </w:r>
    </w:p>
    <w:p>
      <w:pPr>
        <w:numPr>
          <w:ilvl w:val="0"/>
          <w:numId w:val="1001"/>
        </w:numPr>
        <w:pStyle w:val="Compact"/>
      </w:pPr>
      <w:r>
        <w:rPr>
          <w:bCs/>
          <w:b/>
        </w:rPr>
        <w:t xml:space="preserve">NatureTech Solutions (Wellington):</w:t>
      </w:r>
      <w:r>
        <w:t xml:space="preserve"> </w:t>
      </w:r>
      <w:r>
        <w:t xml:space="preserve">$285,000 contract for developing AI-driven waste management systems. This partnership directly supports Wellington City Council's zero-waste initiative.</w:t>
      </w:r>
    </w:p>
    <w:p>
      <w:pPr>
        <w:numPr>
          <w:ilvl w:val="0"/>
          <w:numId w:val="1001"/>
        </w:numPr>
        <w:pStyle w:val="Compact"/>
      </w:pPr>
      <w:r>
        <w:rPr>
          <w:bCs/>
          <w:b/>
        </w:rPr>
        <w:t xml:space="preserve">Seaweed Dynamics (Wellington Enterprise Park):</w:t>
      </w:r>
      <w:r>
        <w:t xml:space="preserve"> </w:t>
      </w:r>
      <w:r>
        <w:t xml:space="preserve">$182,000 project to commercialize sustainable seaweed-based bioplastics, with potential for scaling to export markets.</w:t>
      </w:r>
    </w:p>
    <w:p>
      <w:pPr>
        <w:pStyle w:val="FirstParagraph"/>
      </w:pPr>
      <w:r>
        <w:t xml:space="preserve">These agreements were won through targeted sales pitches at the Wellington Innovation Festival (July 15-17), where the Academic Researcher presented case studies demonstrating ROI for local businesses. The "sales" strategy focused on solving Wellington-specific challenges—proving research has immediate market value.</w:t>
      </w:r>
    </w:p>
    <w:bookmarkEnd w:id="23"/>
    <w:bookmarkStart w:id="24" w:name="grant-acquisition-national-international"/>
    <w:p>
      <w:pPr>
        <w:pStyle w:val="Heading3"/>
      </w:pPr>
      <w:r>
        <w:t xml:space="preserve">2. Grant Acquisition: National &amp; International</w:t>
      </w:r>
    </w:p>
    <w:p>
      <w:pPr>
        <w:pStyle w:val="FirstParagraph"/>
      </w:pPr>
      <w:r>
        <w:t xml:space="preserve">The Academic Researcher successfully won:</w:t>
      </w:r>
    </w:p>
    <w:p>
      <w:pPr>
        <w:numPr>
          <w:ilvl w:val="0"/>
          <w:numId w:val="1002"/>
        </w:numPr>
        <w:pStyle w:val="Compact"/>
      </w:pPr>
      <w:r>
        <w:rPr>
          <w:bCs/>
          <w:b/>
        </w:rPr>
        <w:t xml:space="preserve">MBIE Strategic Science Investment Fund (SSI):</w:t>
      </w:r>
      <w:r>
        <w:t xml:space="preserve"> </w:t>
      </w:r>
      <w:r>
        <w:t xml:space="preserve">$215,000 for "Coastal Resilience Tech" project, with 75% cost-sharing from Wellington-based engineering firms.</w:t>
      </w:r>
    </w:p>
    <w:p>
      <w:pPr>
        <w:numPr>
          <w:ilvl w:val="0"/>
          <w:numId w:val="1002"/>
        </w:numPr>
        <w:pStyle w:val="Compact"/>
      </w:pPr>
      <w:r>
        <w:rPr>
          <w:bCs/>
          <w:b/>
        </w:rPr>
        <w:t xml:space="preserve">Tertiary Education Commission (TEC) Research Acceleration Grant:</w:t>
      </w:r>
      <w:r>
        <w:t xml:space="preserve"> </w:t>
      </w:r>
      <w:r>
        <w:t xml:space="preserve">$128,000 to establish a Wellington Innovation Lab with regional industry partners.</w:t>
      </w:r>
    </w:p>
    <w:p>
      <w:pPr>
        <w:pStyle w:val="FirstParagraph"/>
      </w:pPr>
      <w:r>
        <w:t xml:space="preserve">These grants are not merely "funding" but strategic sales of research capability—demonstrating how the Academic Researcher's work meets New Zealand's national priorities. The TEC grant specifically targets Wellington's emerging tech corridor, aligning with the city's economic development strategy.</w:t>
      </w:r>
    </w:p>
    <w:bookmarkEnd w:id="24"/>
    <w:bookmarkStart w:id="25" w:name="commercialization-milestones"/>
    <w:p>
      <w:pPr>
        <w:pStyle w:val="Heading3"/>
      </w:pPr>
      <w:r>
        <w:t xml:space="preserve">3. Commercialization Milestones</w:t>
      </w:r>
    </w:p>
    <w:p>
      <w:pPr>
        <w:pStyle w:val="FirstParagraph"/>
      </w:pPr>
      <w:r>
        <w:t xml:space="preserve">Two key research outcomes were licensed to New Zealand businesses:</w:t>
      </w:r>
    </w:p>
    <w:p>
      <w:pPr>
        <w:numPr>
          <w:ilvl w:val="0"/>
          <w:numId w:val="1003"/>
        </w:numPr>
        <w:pStyle w:val="Compact"/>
      </w:pPr>
      <w:r>
        <w:t xml:space="preserve">A water filtration membrane patent (developed at Victoria University) was sublicensed to Wellington-based AquaPure for NZ$150,000.</w:t>
      </w:r>
    </w:p>
    <w:p>
      <w:pPr>
        <w:numPr>
          <w:ilvl w:val="0"/>
          <w:numId w:val="1003"/>
        </w:numPr>
        <w:pStyle w:val="Compact"/>
      </w:pPr>
      <w:r>
        <w:t xml:space="preserve">An open-source environmental data platform was adopted by four Wellington councils, generating annual maintenance revenue of NZ$48,500.</w:t>
      </w:r>
    </w:p>
    <w:p>
      <w:pPr>
        <w:pStyle w:val="FirstParagraph"/>
      </w:pPr>
      <w:r>
        <w:t xml:space="preserve">These transactions exemplify the Academic Researcher's core sales competency: transforming lab discoveries into market-ready solutions within New Zealand's unique regulatory and environmental context.</w:t>
      </w:r>
    </w:p>
    <w:bookmarkEnd w:id="25"/>
    <w:bookmarkEnd w:id="26"/>
    <w:bookmarkStart w:id="27" w:name="X77df19315eb8066335b7cc814709fc9a69ca6d6"/>
    <w:p>
      <w:pPr>
        <w:pStyle w:val="Heading2"/>
      </w:pPr>
      <w:r>
        <w:t xml:space="preserve">Wellington Market Analysis &amp; Sales Strategy</w:t>
      </w:r>
    </w:p>
    <w:p>
      <w:pPr>
        <w:pStyle w:val="FirstParagraph"/>
      </w:pPr>
      <w:r>
        <w:t xml:space="preserve">The success of this Quarterly Sales Report stems from deep understanding of Wellington's innovation economy:</w:t>
      </w:r>
    </w:p>
    <w:p>
      <w:pPr>
        <w:numPr>
          <w:ilvl w:val="0"/>
          <w:numId w:val="1004"/>
        </w:numPr>
        <w:pStyle w:val="Compact"/>
      </w:pPr>
      <w:r>
        <w:rPr>
          <w:bCs/>
          <w:b/>
        </w:rPr>
        <w:t xml:space="preserve">Local Needs First:</w:t>
      </w:r>
      <w:r>
        <w:t xml:space="preserve"> </w:t>
      </w:r>
      <w:r>
        <w:t xml:space="preserve">All sales pitches emphasized solutions for Wellington-specific issues (e.g., coastal erosion, urban waste management) rather than generic research.</w:t>
      </w:r>
    </w:p>
    <w:p>
      <w:pPr>
        <w:numPr>
          <w:ilvl w:val="0"/>
          <w:numId w:val="1004"/>
        </w:numPr>
        <w:pStyle w:val="Compact"/>
      </w:pPr>
      <w:r>
        <w:rPr>
          <w:bCs/>
          <w:b/>
        </w:rPr>
        <w:t xml:space="preserve">Network Leverage:</w:t>
      </w:r>
      <w:r>
        <w:t xml:space="preserve"> </w:t>
      </w:r>
      <w:r>
        <w:t xml:space="preserve">Partnering with Wellington's Innovation Hub and BioHeritage National Science Challenge accelerated trust-building with potential clients.</w:t>
      </w:r>
    </w:p>
    <w:p>
      <w:pPr>
        <w:numPr>
          <w:ilvl w:val="0"/>
          <w:numId w:val="1004"/>
        </w:numPr>
        <w:pStyle w:val="Compact"/>
      </w:pPr>
      <w:r>
        <w:rPr>
          <w:bCs/>
          <w:b/>
        </w:rPr>
        <w:t xml:space="preserve">Policy Alignment:</w:t>
      </w:r>
      <w:r>
        <w:t xml:space="preserve"> </w:t>
      </w:r>
      <w:r>
        <w:t xml:space="preserve">Every proposal explicitly referenced New Zealand's "Wellington City Council Climate Action Plan 2030" or MBIE priorities.</w:t>
      </w:r>
    </w:p>
    <w:p>
      <w:pPr>
        <w:pStyle w:val="FirstParagraph"/>
      </w:pPr>
      <w:r>
        <w:t xml:space="preserve">This hyper-localized sales approach has reduced the typical research-to-market timeline by 40% in Wellington, making the Academic Researcher an invaluable asset for New Zealand's innovation ecosystem.</w:t>
      </w:r>
    </w:p>
    <w:bookmarkEnd w:id="27"/>
    <w:bookmarkStart w:id="28" w:name="challenges-mitigation-strategies"/>
    <w:p>
      <w:pPr>
        <w:pStyle w:val="Heading2"/>
      </w:pPr>
      <w:r>
        <w:t xml:space="preserve">Challenges &amp; Mitigation Strategies</w:t>
      </w:r>
    </w:p>
    <w:p>
      <w:pPr>
        <w:pStyle w:val="FirstParagraph"/>
      </w:pPr>
      <w:r>
        <w:t xml:space="preserve">Despite strong performance, two challenges emerged:</w:t>
      </w:r>
    </w:p>
    <w:p>
      <w:pPr>
        <w:numPr>
          <w:ilvl w:val="0"/>
          <w:numId w:val="1005"/>
        </w:numPr>
        <w:pStyle w:val="Compact"/>
      </w:pPr>
      <w:r>
        <w:rPr>
          <w:iCs/>
          <w:i/>
        </w:rPr>
        <w:t xml:space="preserve">Industry Misalignment:</w:t>
      </w:r>
      <w:r>
        <w:t xml:space="preserve"> </w:t>
      </w:r>
      <w:r>
        <w:t xml:space="preserve">Initial interest from some companies was misaligned with Wellington's actual needs. *Solution:* Implemented a pre-sale diagnostic survey for all prospective partners to confirm problem fit.</w:t>
      </w:r>
    </w:p>
    <w:p>
      <w:pPr>
        <w:numPr>
          <w:ilvl w:val="0"/>
          <w:numId w:val="1005"/>
        </w:numPr>
        <w:pStyle w:val="Compact"/>
      </w:pPr>
      <w:r>
        <w:rPr>
          <w:iCs/>
          <w:i/>
        </w:rPr>
        <w:t xml:space="preserve">Funding Complexity:</w:t>
      </w:r>
      <w:r>
        <w:t xml:space="preserve"> </w:t>
      </w:r>
      <w:r>
        <w:t xml:space="preserve">MBIE grant applications required nuanced understanding of New Zealand-specific compliance. *Solution:* Co-developed a "Wellington Compliance Checklist" with Victoria University's Research Office.</w:t>
      </w:r>
    </w:p>
    <w:p>
      <w:pPr>
        <w:pStyle w:val="FirstParagraph"/>
      </w:pPr>
      <w:r>
        <w:t xml:space="preserve">These strategies directly address barriers to sales success within New Zealand Wellington, turning potential obstacles into streamlined processes.</w:t>
      </w:r>
    </w:p>
    <w:bookmarkEnd w:id="28"/>
    <w:bookmarkStart w:id="29" w:name="future-sales-pipeline-q4-2023"/>
    <w:p>
      <w:pPr>
        <w:pStyle w:val="Heading2"/>
      </w:pPr>
      <w:r>
        <w:t xml:space="preserve">Future Sales Pipeline (Q4 2023)</w:t>
      </w:r>
    </w:p>
    <w:p>
      <w:pPr>
        <w:pStyle w:val="FirstParagraph"/>
      </w:pPr>
      <w:r>
        <w:t xml:space="preserve">The Academic Researcher has secured preliminary commitments for three new deals:</w:t>
      </w:r>
    </w:p>
    <w:p>
      <w:pPr>
        <w:numPr>
          <w:ilvl w:val="0"/>
          <w:numId w:val="1006"/>
        </w:numPr>
        <w:pStyle w:val="Compact"/>
      </w:pPr>
      <w:r>
        <w:t xml:space="preserve">A $350,000 project with the New Zealand Green Investment Fund (based in Wellington) to scale carbon capture tech.</w:t>
      </w:r>
    </w:p>
    <w:p>
      <w:pPr>
        <w:numPr>
          <w:ilvl w:val="0"/>
          <w:numId w:val="1006"/>
        </w:numPr>
        <w:pStyle w:val="Compact"/>
      </w:pPr>
      <w:r>
        <w:t xml:space="preserve">Advanced discussions with the University of Otago's research arm regarding a joint Wellington-Christchurch water tech initiative.</w:t>
      </w:r>
    </w:p>
    <w:p>
      <w:pPr>
        <w:numPr>
          <w:ilvl w:val="0"/>
          <w:numId w:val="1006"/>
        </w:numPr>
        <w:pStyle w:val="Compact"/>
      </w:pPr>
      <w:r>
        <w:t xml:space="preserve">A potential licensing deal for a soil remediation tool with a major Wellington agribusiness.</w:t>
      </w:r>
    </w:p>
    <w:p>
      <w:pPr>
        <w:pStyle w:val="FirstParagraph"/>
      </w:pPr>
      <w:r>
        <w:t xml:space="preserve">All opportunities are being pursued through Wellington-focused channels—demonstrating that sales success is intrinsically tied to New Zealand's regional innovation infrastructure. The target for Q4 is $620,000 in commercialized research revenue, building on this year's trajectory.</w:t>
      </w:r>
    </w:p>
    <w:bookmarkEnd w:id="29"/>
    <w:bookmarkStart w:id="30" w:name="X046822296557ebc8a7e8fd54083ba83d1fdbae0"/>
    <w:p>
      <w:pPr>
        <w:pStyle w:val="Heading2"/>
      </w:pPr>
      <w:r>
        <w:t xml:space="preserve">Conclusion: The Value of Academic Researcher Sales in New Zealand Wellington</w:t>
      </w:r>
    </w:p>
    <w:p>
      <w:pPr>
        <w:pStyle w:val="FirstParagraph"/>
      </w:pPr>
      <w:r>
        <w:t xml:space="preserve">This Sales Report confirms that academic researchers are not just knowledge creators but strategic economic assets. In the New Zealand Wellington context, where innovation is tightly woven with local governance and environmental imperatives, this Academic Researcher has demonstrated exceptional ability to "sell" research as a marketable solution. The $487,000 in Q3 revenue directly supports Wellington's economic resilience while advancing national goals for sustainability.</w:t>
      </w:r>
    </w:p>
    <w:p>
      <w:pPr>
        <w:pStyle w:val="BodyText"/>
      </w:pPr>
      <w:r>
        <w:t xml:space="preserve">As New Zealand prioritizes regional innovation ecosystems under the National Science Strategy 2021-2031, the Academic Researcher model proves that sales success requires deep integration with local context—not just academic excellence. Every partnership secured in Wellington contributes to a broader vision: positioning New Zealand as a leader in sustainable technology through hyper-localized research commercialization. This Sales Report serves as evidence that when academic expertise aligns with Wellington's unique market needs, the results are both economically significant and environmentally transformative.</w:t>
      </w:r>
    </w:p>
    <w:p>
      <w:pPr>
        <w:pStyle w:val="BodyText"/>
      </w:pPr>
      <w:r>
        <w:t xml:space="preserve">Report generated for Victoria University of Wellington | Academic Researcher Commercialization Unit | Copyright 2023</w:t>
      </w:r>
    </w:p>
    <w:p>
      <w:pPr>
        <w:pStyle w:val="BodyText"/>
      </w:pPr>
      <w:r>
        <w:t xml:space="preserve">This document is confidential. Distribution limited to authorized personnel within New Zealand Wellington innovation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Wellington, New Zealand</dc:title>
  <dc:creator/>
  <dc:language>en</dc:language>
  <cp:keywords/>
  <dcterms:created xsi:type="dcterms:W3CDTF">2025-12-09T16:21:19Z</dcterms:created>
  <dcterms:modified xsi:type="dcterms:W3CDTF">2025-12-09T16:21:19Z</dcterms:modified>
</cp:coreProperties>
</file>

<file path=docProps/custom.xml><?xml version="1.0" encoding="utf-8"?>
<Properties xmlns="http://schemas.openxmlformats.org/officeDocument/2006/custom-properties" xmlns:vt="http://schemas.openxmlformats.org/officeDocument/2006/docPropsVTypes"/>
</file>