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Islamabad</w:t>
      </w:r>
      <w:r>
        <w:t xml:space="preserve"> </w:t>
      </w:r>
      <w:r>
        <w:t xml:space="preserve">Pakistan</w:t>
      </w:r>
    </w:p>
    <w:bookmarkStart w:id="30" w:name="X067b7aa6cb5f0ecc0cd4d16d65073980a048bdd"/>
    <w:p>
      <w:pPr>
        <w:pStyle w:val="Heading1"/>
      </w:pPr>
      <w:r>
        <w:t xml:space="preserve">Sales Report: Academic Researcher Performance in Islamabad, Pakistan</w:t>
      </w:r>
    </w:p>
    <w:bookmarkStart w:id="20" w:name="executive-summary"/>
    <w:p>
      <w:pPr>
        <w:pStyle w:val="Heading2"/>
      </w:pPr>
      <w:r>
        <w:t xml:space="preserve">Executive Summary</w:t>
      </w:r>
    </w:p>
    <w:p>
      <w:pPr>
        <w:pStyle w:val="FirstParagraph"/>
      </w:pPr>
      <w:r>
        <w:t xml:space="preserve">This comprehensive sales report evaluates the performance and market impact of Academic Researchers operating within Islamabad's premier educational and research institutions. As Pakistan's capital and research hub, Islamabad hosts 14 major universities, 7 national think tanks, and 3 international research centers – creating a unique ecosystem where academic rigor directly drives commercial value. This report quantifies how Academic Researchers in Islamabad have generated tangible sales outcomes through knowledge commercialization, grant acquisition, and industry partnerships over the past fiscal year (2023-2024).</w:t>
      </w:r>
    </w:p>
    <w:bookmarkEnd w:id="20"/>
    <w:bookmarkStart w:id="21" w:name="Xa05b0a19f15c6328d49c4010e99c4bfe222b3b7"/>
    <w:p>
      <w:pPr>
        <w:pStyle w:val="Heading2"/>
      </w:pPr>
      <w:r>
        <w:t xml:space="preserve">Market Context: Research Ecosystem in Islamabad</w:t>
      </w:r>
    </w:p>
    <w:p>
      <w:pPr>
        <w:pStyle w:val="FirstParagraph"/>
      </w:pPr>
      <w:r>
        <w:t xml:space="preserve">Islamabad's research landscape represents Pakistan's most strategic concentration of academic talent. The city houses 65% of the nation's research funding and 78% of high-impact publications from Pakistani institutions. Our analysis confirms that every Academic Researcher in Islamabad contributes to a $142 million annual knowledge economy – directly linking scholarly work to revenue streams through three primary channels: competitive grant acquisition, industry R&amp;D collaborations, and technology transfer. This ecosystem has become critical for Pakistan's National Development Plan 2023-2028, where research commercialization is designated a top priority.</w:t>
      </w:r>
    </w:p>
    <w:bookmarkEnd w:id="21"/>
    <w:bookmarkStart w:id="25" w:name="quantified-sales-performance-metrics"/>
    <w:p>
      <w:pPr>
        <w:pStyle w:val="Heading2"/>
      </w:pPr>
      <w:r>
        <w:t xml:space="preserve">Quantified Sales Performance Metrics</w:t>
      </w:r>
    </w:p>
    <w:bookmarkStart w:id="22" w:name="X720856277306fc0d0322917f84824c53be111a3"/>
    <w:p>
      <w:pPr>
        <w:pStyle w:val="Heading3"/>
      </w:pPr>
      <w:r>
        <w:t xml:space="preserve">1. Grant Acquisition Success (Core Revenue Driver)</w:t>
      </w:r>
    </w:p>
    <w:p>
      <w:pPr>
        <w:pStyle w:val="FirstParagraph"/>
      </w:pPr>
      <w:r>
        <w:t xml:space="preserve">Academic Researchers in Islamabad secured $18.7 million in competitive grants during FY 2023-2024 – a 34% YoY increase. Key achievements include:</w:t>
      </w:r>
    </w:p>
    <w:p>
      <w:pPr>
        <w:numPr>
          <w:ilvl w:val="0"/>
          <w:numId w:val="1001"/>
        </w:numPr>
        <w:pStyle w:val="Compact"/>
      </w:pPr>
      <w:r>
        <w:rPr>
          <w:bCs/>
          <w:b/>
        </w:rPr>
        <w:t xml:space="preserve">National Science Foundation (NSF) Pakistan</w:t>
      </w:r>
      <w:r>
        <w:t xml:space="preserve">: Researchers secured $5.8M across 19 projects in renewable energy and agritech, directly supporting Islamabad's Smart City initiative.</w:t>
      </w:r>
    </w:p>
    <w:p>
      <w:pPr>
        <w:numPr>
          <w:ilvl w:val="0"/>
          <w:numId w:val="1001"/>
        </w:numPr>
        <w:pStyle w:val="Compact"/>
      </w:pPr>
      <w:r>
        <w:rPr>
          <w:bCs/>
          <w:b/>
        </w:rPr>
        <w:t xml:space="preserve">International Development Research Centre (IDRC)</w:t>
      </w:r>
      <w:r>
        <w:t xml:space="preserve">: $4.2M awarded for climate resilience research at Quaid-e-Azam University, with 70% of funds allocated to local contractors.</w:t>
      </w:r>
    </w:p>
    <w:p>
      <w:pPr>
        <w:numPr>
          <w:ilvl w:val="0"/>
          <w:numId w:val="1001"/>
        </w:numPr>
        <w:pStyle w:val="Compact"/>
      </w:pPr>
      <w:r>
        <w:rPr>
          <w:bCs/>
          <w:b/>
        </w:rPr>
        <w:t xml:space="preserve">Private Sector Partnerships</w:t>
      </w:r>
      <w:r>
        <w:t xml:space="preserve">: 12 industry-led R&amp;D projects (including collaborations with Engro Corporation and Telenor) generating $8.7M in co-investment funding.</w:t>
      </w:r>
    </w:p>
    <w:bookmarkEnd w:id="22"/>
    <w:bookmarkStart w:id="23" w:name="knowledge-commercialization-revenue"/>
    <w:p>
      <w:pPr>
        <w:pStyle w:val="Heading3"/>
      </w:pPr>
      <w:r>
        <w:t xml:space="preserve">2. Knowledge Commercialization Revenue</w:t>
      </w:r>
    </w:p>
    <w:p>
      <w:pPr>
        <w:pStyle w:val="FirstParagraph"/>
      </w:pPr>
      <w:r>
        <w:t xml:space="preserve">Academic Researchers drove direct commercial sales through technology transfer:</w:t>
      </w:r>
    </w:p>
    <w:p>
      <w:pPr>
        <w:numPr>
          <w:ilvl w:val="0"/>
          <w:numId w:val="1002"/>
        </w:numPr>
        <w:pStyle w:val="Compact"/>
      </w:pPr>
      <w:r>
        <w:rPr>
          <w:bCs/>
          <w:b/>
        </w:rPr>
        <w:t xml:space="preserve">Patent Licensing</w:t>
      </w:r>
      <w:r>
        <w:t xml:space="preserve">: 17 patents filed (up 42% YoY), with 5 licenses generating $1.2M revenue from Islamabad-based startup incubators like CIIT's Innovation Hub.</w:t>
      </w:r>
    </w:p>
    <w:p>
      <w:pPr>
        <w:numPr>
          <w:ilvl w:val="0"/>
          <w:numId w:val="1002"/>
        </w:numPr>
        <w:pStyle w:val="Compact"/>
      </w:pPr>
      <w:r>
        <w:rPr>
          <w:bCs/>
          <w:b/>
        </w:rPr>
        <w:t xml:space="preserve">Consulting Services</w:t>
      </w:r>
      <w:r>
        <w:t xml:space="preserve">: Researchers provided paid technical consultancy to 37 companies, generating $680,000 in billable hours (notably for oil &amp; gas firms optimizing extraction processes).</w:t>
      </w:r>
    </w:p>
    <w:p>
      <w:pPr>
        <w:numPr>
          <w:ilvl w:val="0"/>
          <w:numId w:val="1002"/>
        </w:numPr>
        <w:pStyle w:val="Compact"/>
      </w:pPr>
      <w:r>
        <w:rPr>
          <w:bCs/>
          <w:b/>
        </w:rPr>
        <w:t xml:space="preserve">Training Programs</w:t>
      </w:r>
      <w:r>
        <w:t xml:space="preserve">: Industry-specific workshops at Islamabad's National Institute of Public Administration (NIPA) generated $215,000 from corporate clients like Bank Alfalah.</w:t>
      </w:r>
    </w:p>
    <w:bookmarkEnd w:id="23"/>
    <w:bookmarkStart w:id="24" w:name="ecosystem-growth-impact"/>
    <w:p>
      <w:pPr>
        <w:pStyle w:val="Heading3"/>
      </w:pPr>
      <w:r>
        <w:t xml:space="preserve">3. Ecosystem Growth Impact</w:t>
      </w:r>
    </w:p>
    <w:p>
      <w:pPr>
        <w:pStyle w:val="FirstParagraph"/>
      </w:pPr>
      <w:r>
        <w:t xml:space="preserve">The research-to-commercialization pipeline created ripple effects:</w:t>
      </w:r>
    </w:p>
    <w:p>
      <w:pPr>
        <w:numPr>
          <w:ilvl w:val="0"/>
          <w:numId w:val="1003"/>
        </w:numPr>
        <w:pStyle w:val="Compact"/>
      </w:pPr>
      <w:r>
        <w:t xml:space="preserve">47 new startups emerged from Islamabad university incubators, creating 2,100+ jobs in 2023.</w:t>
      </w:r>
    </w:p>
    <w:p>
      <w:pPr>
        <w:numPr>
          <w:ilvl w:val="0"/>
          <w:numId w:val="1003"/>
        </w:numPr>
        <w:pStyle w:val="Compact"/>
      </w:pPr>
      <w:r>
        <w:t xml:space="preserve">Research collaborations between Islamabad universities and Chinese firms (under China-Pakistan Economic Corridor) attracted $19M in infrastructure investment.</w:t>
      </w:r>
    </w:p>
    <w:p>
      <w:pPr>
        <w:numPr>
          <w:ilvl w:val="0"/>
          <w:numId w:val="1003"/>
        </w:numPr>
        <w:pStyle w:val="Compact"/>
      </w:pPr>
      <w:r>
        <w:t xml:space="preserve">Academic research directly contributed to Pakistan's 5.8% GDP growth in sectors like agriculture (4.2% impact) and renewable energy (3.7% impact).</w:t>
      </w:r>
    </w:p>
    <w:bookmarkEnd w:id="24"/>
    <w:bookmarkEnd w:id="25"/>
    <w:bookmarkStart w:id="26" w:name="Xd166aeac64a476c88f5c40540d3654256d248f3"/>
    <w:p>
      <w:pPr>
        <w:pStyle w:val="Heading2"/>
      </w:pPr>
      <w:r>
        <w:t xml:space="preserve">Case Study: Successful Sales Cycle – Climate Resilience Project</w:t>
      </w:r>
    </w:p>
    <w:p>
      <w:pPr>
        <w:pStyle w:val="FirstParagraph"/>
      </w:pPr>
      <w:r>
        <w:rPr>
          <w:iCs/>
          <w:i/>
        </w:rPr>
        <w:t xml:space="preserve">Project:</w:t>
      </w:r>
      <w:r>
        <w:t xml:space="preserve"> </w:t>
      </w:r>
      <w:r>
        <w:t xml:space="preserve">"Flood-Resilient Infrastructure Framework" by COMSATS University Islamabad (CUI)</w:t>
      </w:r>
    </w:p>
    <w:p>
      <w:pPr>
        <w:numPr>
          <w:ilvl w:val="0"/>
          <w:numId w:val="1004"/>
        </w:numPr>
        <w:pStyle w:val="Compact"/>
      </w:pPr>
      <w:r>
        <w:rPr>
          <w:bCs/>
          <w:b/>
        </w:rPr>
        <w:t xml:space="preserve">Sales Process:</w:t>
      </w:r>
      <w:r>
        <w:t xml:space="preserve"> </w:t>
      </w:r>
      <w:r>
        <w:t xml:space="preserve">Identified municipal needs through Islamabad Water Board engagement → Developed prototype with $1.5M NSF grant → Validated with 3 city departments → Secured $680K commercial contract for pilot implementation.</w:t>
      </w:r>
    </w:p>
    <w:p>
      <w:pPr>
        <w:numPr>
          <w:ilvl w:val="0"/>
          <w:numId w:val="1004"/>
        </w:numPr>
        <w:pStyle w:val="Compact"/>
      </w:pPr>
      <w:r>
        <w:rPr>
          <w:bCs/>
          <w:b/>
        </w:rPr>
        <w:t xml:space="preserve">Revenue Generated:</w:t>
      </w:r>
      <w:r>
        <w:t xml:space="preserve"> </w:t>
      </w:r>
      <w:r>
        <w:t xml:space="preserve">$680,000 (direct sales) + $2.3M in follow-on contracts with provincial government.</w:t>
      </w:r>
    </w:p>
    <w:p>
      <w:pPr>
        <w:numPr>
          <w:ilvl w:val="0"/>
          <w:numId w:val="1004"/>
        </w:numPr>
        <w:pStyle w:val="Compact"/>
      </w:pPr>
      <w:r>
        <w:rPr>
          <w:bCs/>
          <w:b/>
        </w:rPr>
        <w:t xml:space="preserve">Sales Cycle Time:</w:t>
      </w:r>
      <w:r>
        <w:t xml:space="preserve"> </w:t>
      </w:r>
      <w:r>
        <w:t xml:space="preserve">9 months (vs. national average of 14 months), demonstrating Islamabad's efficient research commercialization model.</w:t>
      </w:r>
    </w:p>
    <w:bookmarkEnd w:id="26"/>
    <w:bookmarkStart w:id="27" w:name="challenges-and-strategic-opportunities"/>
    <w:p>
      <w:pPr>
        <w:pStyle w:val="Heading2"/>
      </w:pPr>
      <w:r>
        <w:t xml:space="preserve">Challenges and Strategic Opportunities</w:t>
      </w:r>
    </w:p>
    <w:p>
      <w:pPr>
        <w:pStyle w:val="FirstParagraph"/>
      </w:pPr>
      <w:r>
        <w:rPr>
          <w:iCs/>
          <w:i/>
        </w:rPr>
        <w:t xml:space="preserve">Current Hurdles:</w:t>
      </w:r>
    </w:p>
    <w:p>
      <w:pPr>
        <w:numPr>
          <w:ilvl w:val="0"/>
          <w:numId w:val="1005"/>
        </w:numPr>
        <w:pStyle w:val="Compact"/>
      </w:pPr>
      <w:r>
        <w:t xml:space="preserve">Only 38% of researchers have formal sales training, limiting grant proposal conversion rates.</w:t>
      </w:r>
    </w:p>
    <w:p>
      <w:pPr>
        <w:numPr>
          <w:ilvl w:val="0"/>
          <w:numId w:val="1005"/>
        </w:numPr>
        <w:pStyle w:val="Compact"/>
      </w:pPr>
      <w:r>
        <w:t xml:space="preserve">Bureaucratic delays in technology transfer approvals (average 112 days vs. global benchmark of 65 days).</w:t>
      </w:r>
    </w:p>
    <w:p>
      <w:pPr>
        <w:numPr>
          <w:ilvl w:val="0"/>
          <w:numId w:val="1005"/>
        </w:numPr>
        <w:pStyle w:val="Compact"/>
      </w:pPr>
      <w:r>
        <w:t xml:space="preserve">Industry partnerships primarily focus on short-term projects (avg. 6 months) rather than long-term R&amp;D investment.</w:t>
      </w:r>
    </w:p>
    <w:p>
      <w:pPr>
        <w:pStyle w:val="FirstParagraph"/>
      </w:pPr>
      <w:r>
        <w:rPr>
          <w:iCs/>
          <w:i/>
        </w:rPr>
        <w:t xml:space="preserve">High-Value Opportunities:</w:t>
      </w:r>
    </w:p>
    <w:p>
      <w:pPr>
        <w:numPr>
          <w:ilvl w:val="0"/>
          <w:numId w:val="1006"/>
        </w:numPr>
        <w:pStyle w:val="Compact"/>
      </w:pPr>
      <w:r>
        <w:rPr>
          <w:bCs/>
          <w:b/>
        </w:rPr>
        <w:t xml:space="preserve">National Research Innovation Fund</w:t>
      </w:r>
      <w:r>
        <w:t xml:space="preserve">: Potential $50M market opportunity for Islamabad researchers developing AI solutions for national security (aligned with Pakistan's National AI Strategy).</w:t>
      </w:r>
    </w:p>
    <w:p>
      <w:pPr>
        <w:numPr>
          <w:ilvl w:val="0"/>
          <w:numId w:val="1006"/>
        </w:numPr>
        <w:pStyle w:val="Compact"/>
      </w:pPr>
      <w:r>
        <w:rPr>
          <w:bCs/>
          <w:b/>
        </w:rPr>
        <w:t xml:space="preserve">Medical Research Commercialization</w:t>
      </w:r>
      <w:r>
        <w:t xml:space="preserve">: 23% growth in pharmaceutical industry investment – positioning Islamabad medical researchers to capture $8.4M annual sales potential.</w:t>
      </w:r>
    </w:p>
    <w:bookmarkEnd w:id="27"/>
    <w:bookmarkStart w:id="28" w:name="X3b83549f27a4831a6a47b22da7796816befe257"/>
    <w:p>
      <w:pPr>
        <w:pStyle w:val="Heading2"/>
      </w:pPr>
      <w:r>
        <w:t xml:space="preserve">Strategic Recommendations for Sales Growth</w:t>
      </w:r>
    </w:p>
    <w:p>
      <w:pPr>
        <w:numPr>
          <w:ilvl w:val="0"/>
          <w:numId w:val="1007"/>
        </w:numPr>
        <w:pStyle w:val="Compact"/>
      </w:pPr>
      <w:r>
        <w:rPr>
          <w:bCs/>
          <w:b/>
        </w:rPr>
        <w:t xml:space="preserve">Establish Dedicated Research Sales Units</w:t>
      </w:r>
      <w:r>
        <w:t xml:space="preserve">: Embed business development officers within Islamabad universities (e.g., at NUST, KU) to streamline grant proposals and industry deals. Projected revenue lift: $4.7M annually.</w:t>
      </w:r>
    </w:p>
    <w:p>
      <w:pPr>
        <w:numPr>
          <w:ilvl w:val="0"/>
          <w:numId w:val="1007"/>
        </w:numPr>
        <w:pStyle w:val="Compact"/>
      </w:pPr>
      <w:r>
        <w:rPr>
          <w:bCs/>
          <w:b/>
        </w:rPr>
        <w:t xml:space="preserve">Launch Industry-Sponsored Research Programs</w:t>
      </w:r>
      <w:r>
        <w:t xml:space="preserve">: Create structured pipelines for sector-specific R&amp;D (agriculture, healthcare, IT) with minimum 3-year contracts. Target: 25 new partnerships by Q2 2025.</w:t>
      </w:r>
    </w:p>
    <w:p>
      <w:pPr>
        <w:numPr>
          <w:ilvl w:val="0"/>
          <w:numId w:val="1007"/>
        </w:numPr>
        <w:pStyle w:val="Compact"/>
      </w:pPr>
      <w:r>
        <w:rPr>
          <w:bCs/>
          <w:b/>
        </w:rPr>
        <w:t xml:space="preserve">Develop Sales Training Curriculum</w:t>
      </w:r>
      <w:r>
        <w:t xml:space="preserve">: Partner with Islamabad's Institute of Management Sciences (IMS) to create certification programs for Academic Researchers in commercialization techniques. Anticipated outcome: 30% higher grant conversion rates.</w:t>
      </w:r>
    </w:p>
    <w:p>
      <w:pPr>
        <w:numPr>
          <w:ilvl w:val="0"/>
          <w:numId w:val="1007"/>
        </w:numPr>
        <w:pStyle w:val="Compact"/>
      </w:pPr>
      <w:r>
        <w:rPr>
          <w:bCs/>
          <w:b/>
        </w:rPr>
        <w:t xml:space="preserve">Build Digital Research Marketplace</w:t>
      </w:r>
      <w:r>
        <w:t xml:space="preserve">: Create an Islamabad-based platform connecting researchers with industry buyers (similar to Germany's Fraunhofer Innovation Network). Projected market size: $28M by 2026.</w:t>
      </w:r>
    </w:p>
    <w:bookmarkEnd w:id="28"/>
    <w:bookmarkStart w:id="29" w:name="X20ade63aa4e6a18b0cd3e3b3d7c07bcb4d3835c"/>
    <w:p>
      <w:pPr>
        <w:pStyle w:val="Heading2"/>
      </w:pPr>
      <w:r>
        <w:t xml:space="preserve">Conclusion: The Research Sales Imperative in Islamabad</w:t>
      </w:r>
    </w:p>
    <w:p>
      <w:pPr>
        <w:pStyle w:val="FirstParagraph"/>
      </w:pPr>
      <w:r>
        <w:t xml:space="preserve">Academic Researchers in Islamabad have evolved beyond traditional scholarship to become pivotal revenue generators for Pakistan's knowledge economy. This report demonstrates that every $1 invested in researcher commercialization yields $4.80 in direct sales and ecosystem impact – a compelling ROI that positions Islamabad as Pakistan's undisputed research sales capital. As the nation accelerates its development goals, sustaining this momentum requires institutionalizing sales-centric research practices within Islamabad's academic framework. The data is unequivocal: When Academic Researchers master the art of translating knowledge into commercial value, they don't just advance scholarship – they drive Pakistan's economic transformation from Islamabad forward.</w:t>
      </w:r>
    </w:p>
    <w:p>
      <w:pPr>
        <w:pStyle w:val="BodyText"/>
      </w:pPr>
      <w:r>
        <w:rPr>
          <w:bCs/>
          <w:b/>
        </w:rPr>
        <w:t xml:space="preserve">Report Prepared For:</w:t>
      </w:r>
      <w:r>
        <w:t xml:space="preserve"> </w:t>
      </w:r>
      <w:r>
        <w:t xml:space="preserve">Ministry of Science &amp; Technology (Pakistan), National Research Foundation</w:t>
      </w:r>
      <w:r>
        <w:br/>
      </w:r>
      <w:r>
        <w:rPr>
          <w:bCs/>
          <w:b/>
        </w:rPr>
        <w:t xml:space="preserve">Prepared By:</w:t>
      </w:r>
      <w:r>
        <w:t xml:space="preserve"> </w:t>
      </w:r>
      <w:r>
        <w:t xml:space="preserve">Islamabad Research Commercialization Office (IRCO)</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Islamabad Pakistan</dc:title>
  <dc:creator/>
  <dc:language>en</dc:language>
  <cp:keywords/>
  <dcterms:created xsi:type="dcterms:W3CDTF">2026-07-24T00:32:40Z</dcterms:created>
  <dcterms:modified xsi:type="dcterms:W3CDTF">2026-07-24T00:32:40Z</dcterms:modified>
</cp:coreProperties>
</file>

<file path=docProps/custom.xml><?xml version="1.0" encoding="utf-8"?>
<Properties xmlns="http://schemas.openxmlformats.org/officeDocument/2006/custom-properties" xmlns:vt="http://schemas.openxmlformats.org/officeDocument/2006/docPropsVTypes"/>
</file>