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Lima,</w:t>
      </w:r>
      <w:r>
        <w:t xml:space="preserve"> </w:t>
      </w:r>
      <w:r>
        <w:t xml:space="preserve">Peru</w:t>
      </w:r>
    </w:p>
    <w:bookmarkStart w:id="30" w:name="Xf46e0e8a6658818ae5de39752dbf4e1c9bb756b"/>
    <w:p>
      <w:pPr>
        <w:pStyle w:val="Heading1"/>
      </w:pPr>
      <w:r>
        <w:t xml:space="preserve">Academic Researcher Sales Performance Report: Lima, Peru Market Analysis and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r>
        <w:br/>
      </w:r>
      <w:r>
        <w:rPr>
          <w:bCs/>
          <w:b/>
        </w:rPr>
        <w:t xml:space="preserve">Prepared By:</w:t>
      </w:r>
      <w:r>
        <w:t xml:space="preserve"> </w:t>
      </w:r>
      <w:r>
        <w:t xml:space="preserve">Regional Sales Department, Academic Research Division</w:t>
      </w:r>
    </w:p>
    <w:bookmarkStart w:id="20" w:name="i.-executive-summary"/>
    <w:p>
      <w:pPr>
        <w:pStyle w:val="Heading2"/>
      </w:pPr>
      <w:r>
        <w:t xml:space="preserve">I. Executive Summary</w:t>
      </w:r>
    </w:p>
    <w:p>
      <w:pPr>
        <w:pStyle w:val="FirstParagraph"/>
      </w:pPr>
      <w:r>
        <w:t xml:space="preserve">This Sales Report details the performance of academic research services across Lima, Peru during Q3 2023. As an Academic Researcher operating within Peru's dynamic higher education ecosystem, our team achieved a 15% year-over-year growth in service contracts despite economic volatility. The Lima market remains our strongest geographical performer, contributing 42% of total regional revenue with significant expansion in university partnerships and government-funded research projects. This report outlines key successes, challenges specific to the Peruvian academic landscape, and data-driven recommendations for Q4 2023 growth strategies.</w:t>
      </w:r>
    </w:p>
    <w:bookmarkEnd w:id="20"/>
    <w:bookmarkStart w:id="21" w:name="Xc1fc24aa5e7d50da95d4ab0b25694e8535366e3"/>
    <w:p>
      <w:pPr>
        <w:pStyle w:val="Heading2"/>
      </w:pPr>
      <w:r>
        <w:t xml:space="preserve">II. Market Context: Academic Research Landscape in Lima, Peru</w:t>
      </w:r>
    </w:p>
    <w:p>
      <w:pPr>
        <w:pStyle w:val="FirstParagraph"/>
      </w:pPr>
      <w:r>
        <w:t xml:space="preserve">Lima serves as the undisputed epicenter of academic research activity in Peru, housing 68% of the country's universities and 7 of its top 10 institutions. The Ministry of Education's recent "Research Acceleration Program" (2023) has injected $45 million into university research infrastructure, creating unprecedented demand for specialized academic services. As an Academic Researcher targeting Lima's institutions, we've leveraged this momentum to position ourselves as the preferred partner for high-impact data analytics and collaborative research projects.</w:t>
      </w:r>
    </w:p>
    <w:p>
      <w:pPr>
        <w:pStyle w:val="BodyText"/>
      </w:pPr>
      <w:r>
        <w:t xml:space="preserve">The competitive landscape includes multinational research firms (e.g., Ipsos Peru) and local consultancies, but our niche focus on Latin American academic workflows gives us a distinct advantage. Key institutions driving demand include Universidad de Lima (23% of Q3 contracts), Pontificia Universidad Católica del Perú (18%), and Universidad Nacional Federico Villareal (15%). We've successfully adapted service packages to align with Peru's unique research funding cycles, which typically peak in Q4 before the new academic year begins.</w:t>
      </w:r>
    </w:p>
    <w:bookmarkEnd w:id="21"/>
    <w:bookmarkStart w:id="22" w:name="iii.-q3-2023-sales-performance-analysis"/>
    <w:p>
      <w:pPr>
        <w:pStyle w:val="Heading2"/>
      </w:pPr>
      <w:r>
        <w:t xml:space="preserve">III. Q3 2023 Sales Performance Analysis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Contracts (Lima)</w:t>
      </w:r>
    </w:p>
    <w:p>
      <w:pPr>
        <w:pStyle w:val="BodyText"/>
      </w:pPr>
      <w:r>
        <w:t xml:space="preserve">$1.84M</w:t>
      </w:r>
    </w:p>
    <w:p>
      <w:pPr>
        <w:pStyle w:val="BodyText"/>
      </w:pPr>
      <w:r>
        <w:t xml:space="preserve">$1.60M</w:t>
      </w:r>
    </w:p>
    <w:p>
      <w:pPr>
        <w:pStyle w:val="BodyText"/>
      </w:pPr>
      <w:r>
        <w:t xml:space="preserve">+15%</w:t>
      </w:r>
    </w:p>
    <w:p>
      <w:pPr>
        <w:pStyle w:val="BodyText"/>
      </w:pPr>
      <w:r>
        <w:t xml:space="preserve">University Partnerships</w:t>
      </w:r>
    </w:p>
    <w:p>
      <w:pPr>
        <w:pStyle w:val="BodyText"/>
      </w:pPr>
      <w:r>
        <w:t xml:space="preserve">27</w:t>
      </w:r>
    </w:p>
    <w:p>
      <w:pPr>
        <w:pStyle w:val="BodyText"/>
      </w:pPr>
      <w:r>
        <w:t xml:space="preserve">21</w:t>
      </w:r>
    </w:p>
    <w:p>
      <w:pPr>
        <w:pStyle w:val="BodyText"/>
      </w:pPr>
      <w:r>
        <w:t xml:space="preserve">Avg. Contract Value (Lima)</w:t>
      </w:r>
    </w:p>
    <w:p>
      <w:pPr>
        <w:pStyle w:val="BodyText"/>
      </w:pPr>
      <w:r>
        <w:t xml:space="preserve">$68,100</w:t>
      </w:r>
    </w:p>
    <w:p>
      <w:pPr>
        <w:pStyle w:val="BodyText"/>
      </w:pPr>
      <w:r>
        <w:t xml:space="preserve">$62,400</w:t>
      </w:r>
    </w:p>
    <w:p>
      <w:pPr>
        <w:pStyle w:val="BodyText"/>
      </w:pPr>
      <w:r>
        <w:t xml:space="preserve">+9.1%</w:t>
      </w:r>
    </w:p>
    <w:p>
      <w:pPr>
        <w:pStyle w:val="BodyText"/>
      </w:pPr>
      <w:r>
        <w:t xml:space="preserve">New Institutional Acquisitions</w:t>
      </w:r>
    </w:p>
    <w:p>
      <w:pPr>
        <w:pStyle w:val="BodyText"/>
      </w:pPr>
      <w:r>
        <w:t xml:space="preserve">8</w:t>
      </w:r>
    </w:p>
    <w:p>
      <w:pPr>
        <w:pStyle w:val="BodyText"/>
      </w:pPr>
      <w:r>
        <w:t xml:space="preserve">5</w:t>
      </w:r>
    </w:p>
    <w:p>
      <w:pPr>
        <w:pStyle w:val="BodyText"/>
      </w:pPr>
      <w:r>
        <w:t xml:space="preserve">Sales Conversion Rate (Lima)</w:t>
      </w:r>
    </w:p>
    <w:p>
      <w:pPr>
        <w:pStyle w:val="BodyText"/>
      </w:pPr>
      <w:r>
        <w:t xml:space="preserve">34%</w:t>
      </w:r>
    </w:p>
    <w:p>
      <w:pPr>
        <w:pStyle w:val="BodyText"/>
      </w:pPr>
      <w:r>
        <w:t xml:space="preserve">29%</w:t>
      </w:r>
    </w:p>
    <w:p>
      <w:pPr>
        <w:pStyle w:val="BodyText"/>
      </w:pPr>
      <w:r>
        <w:t xml:space="preserve">Key growth drivers included:</w:t>
      </w:r>
    </w:p>
    <w:p>
      <w:pPr>
        <w:numPr>
          <w:ilvl w:val="0"/>
          <w:numId w:val="1001"/>
        </w:numPr>
        <w:pStyle w:val="Compact"/>
      </w:pPr>
      <w:r>
        <w:rPr>
          <w:bCs/>
          <w:b/>
        </w:rPr>
        <w:t xml:space="preserve">National Research Grants:</w:t>
      </w:r>
      <w:r>
        <w:t xml:space="preserve"> </w:t>
      </w:r>
      <w:r>
        <w:t xml:space="preserve">Secured 3 contracts totaling $875K from CONCYTEC (National Council for Science and Technology), Peru's primary research funding body. Our Academic Researcher team designed customized data collection protocols matching CONCYTEC's sustainability metrics.</w:t>
      </w:r>
    </w:p>
    <w:p>
      <w:pPr>
        <w:numPr>
          <w:ilvl w:val="0"/>
          <w:numId w:val="1001"/>
        </w:numPr>
        <w:pStyle w:val="Compact"/>
      </w:pPr>
      <w:r>
        <w:rPr>
          <w:bCs/>
          <w:b/>
        </w:rPr>
        <w:t xml:space="preserve">University Digital Transformation:</w:t>
      </w:r>
      <w:r>
        <w:t xml:space="preserve"> </w:t>
      </w:r>
      <w:r>
        <w:t xml:space="preserve">Partnered with Universidad del Pacífico on a $320K analytics platform for behavioral science research, integrating Peruvian cultural context into AI-driven analysis models.</w:t>
      </w:r>
    </w:p>
    <w:p>
      <w:pPr>
        <w:numPr>
          <w:ilvl w:val="0"/>
          <w:numId w:val="1001"/>
        </w:numPr>
        <w:pStyle w:val="Compact"/>
      </w:pPr>
      <w:r>
        <w:rPr>
          <w:bCs/>
          <w:b/>
        </w:rPr>
        <w:t xml:space="preserve">Niche Specialization:</w:t>
      </w:r>
      <w:r>
        <w:t xml:space="preserve"> </w:t>
      </w:r>
      <w:r>
        <w:t xml:space="preserve">Developed "Peru-Specific Research Methodology" package adopted by 7 new clients, addressing unique challenges like rural data collection and indigenous knowledge integration.</w:t>
      </w:r>
    </w:p>
    <w:bookmarkEnd w:id="22"/>
    <w:bookmarkStart w:id="26" w:name="X9c5e0820cc67863f472657eeb79aadd28701513"/>
    <w:p>
      <w:pPr>
        <w:pStyle w:val="Heading2"/>
      </w:pPr>
      <w:r>
        <w:t xml:space="preserve">IV. Peru Lima-Specific Challenges &amp; Mitigation Strategies</w:t>
      </w:r>
    </w:p>
    <w:p>
      <w:pPr>
        <w:pStyle w:val="FirstParagraph"/>
      </w:pPr>
      <w:r>
        <w:t xml:space="preserve">Operating as an Academic Researcher in Lima requires navigating distinct market complexities:</w:t>
      </w:r>
    </w:p>
    <w:bookmarkStart w:id="23" w:name="X6f0296e410f7ba8270fd6efe4d5a647b8c2e11a"/>
    <w:p>
      <w:pPr>
        <w:pStyle w:val="Heading3"/>
      </w:pPr>
      <w:r>
        <w:t xml:space="preserve">Challenge 1: Bureaucratic Procurement Cycles</w:t>
      </w:r>
    </w:p>
    <w:p>
      <w:pPr>
        <w:pStyle w:val="FirstParagraph"/>
      </w:pPr>
      <w:r>
        <w:rPr>
          <w:iCs/>
          <w:i/>
        </w:rPr>
        <w:t xml:space="preserve">Impact:</w:t>
      </w:r>
      <w:r>
        <w:t xml:space="preserve"> </w:t>
      </w:r>
      <w:r>
        <w:t xml:space="preserve">University contracts often require 4-6 months for approval, delaying revenue realization.</w:t>
      </w:r>
      <w:r>
        <w:t xml:space="preserve"> </w:t>
      </w:r>
      <w:r>
        <w:rPr>
          <w:iCs/>
          <w:i/>
        </w:rPr>
        <w:t xml:space="preserve">Solution:</w:t>
      </w:r>
      <w:r>
        <w:t xml:space="preserve"> </w:t>
      </w:r>
      <w:r>
        <w:t xml:space="preserve">Implemented "Pre-Qualified Research Partner" status with top 5 Lima universities, reducing contract negotiation time by 50%. Our Academic Researcher team now conducts preliminary scoping sessions during faculty recruitment events.</w:t>
      </w:r>
    </w:p>
    <w:bookmarkEnd w:id="23"/>
    <w:bookmarkStart w:id="24" w:name="Xbce308d1dfa44c642bb23a5b061e36733171f19"/>
    <w:p>
      <w:pPr>
        <w:pStyle w:val="Heading3"/>
      </w:pPr>
      <w:r>
        <w:t xml:space="preserve">Challenge 2: Cultural Alignment in Research Design</w:t>
      </w:r>
    </w:p>
    <w:p>
      <w:pPr>
        <w:pStyle w:val="FirstParagraph"/>
      </w:pPr>
      <w:r>
        <w:rPr>
          <w:iCs/>
          <w:i/>
        </w:rPr>
        <w:t xml:space="preserve">Impact:</w:t>
      </w:r>
      <w:r>
        <w:t xml:space="preserve"> </w:t>
      </w:r>
      <w:r>
        <w:t xml:space="preserve">Initial proposals failed when ignoring Andean cultural nuances in survey methodologies.</w:t>
      </w:r>
      <w:r>
        <w:t xml:space="preserve"> </w:t>
      </w:r>
      <w:r>
        <w:rPr>
          <w:iCs/>
          <w:i/>
        </w:rPr>
        <w:t xml:space="preserve">Solution:</w:t>
      </w:r>
      <w:r>
        <w:t xml:space="preserve"> </w:t>
      </w:r>
      <w:r>
        <w:t xml:space="preserve">Hired three Peruvian-based Academic Researchers with local ethnographic expertise. This resulted in a 35% higher client satisfaction rate on methodology compliance, as seen in the Universidad Nacional Mayor de San Marcos project.</w:t>
      </w:r>
    </w:p>
    <w:bookmarkEnd w:id="24"/>
    <w:bookmarkStart w:id="25" w:name="challenge-3-currency-volatility"/>
    <w:p>
      <w:pPr>
        <w:pStyle w:val="Heading3"/>
      </w:pPr>
      <w:r>
        <w:t xml:space="preserve">Challenge 3: Currency Volatility</w:t>
      </w:r>
    </w:p>
    <w:p>
      <w:pPr>
        <w:pStyle w:val="FirstParagraph"/>
      </w:pPr>
      <w:r>
        <w:rPr>
          <w:iCs/>
          <w:i/>
        </w:rPr>
        <w:t xml:space="preserve">Impact:</w:t>
      </w:r>
      <w:r>
        <w:t xml:space="preserve"> </w:t>
      </w:r>
      <w:r>
        <w:t xml:space="preserve">USD/PEN exchange fluctuations reduced net margins by 8% in Q2.</w:t>
      </w:r>
      <w:r>
        <w:t xml:space="preserve"> </w:t>
      </w:r>
      <w:r>
        <w:rPr>
          <w:iCs/>
          <w:i/>
        </w:rPr>
        <w:t xml:space="preserve">Solution:</w:t>
      </w:r>
      <w:r>
        <w:t xml:space="preserve"> </w:t>
      </w:r>
      <w:r>
        <w:t xml:space="preserve">Introduced flexible pricing with local currency (PEN) options for multi-year contracts. This secured $412K in PEN-denominated agreements during Q3, protecting client budgets and our profitability.</w:t>
      </w:r>
    </w:p>
    <w:bookmarkEnd w:id="25"/>
    <w:bookmarkEnd w:id="26"/>
    <w:bookmarkStart w:id="27" w:name="v.-strategic-recommendations-for-q4-2023"/>
    <w:p>
      <w:pPr>
        <w:pStyle w:val="Heading2"/>
      </w:pPr>
      <w:r>
        <w:t xml:space="preserve">V. Strategic Recommendations for Q4 2023</w:t>
      </w:r>
    </w:p>
    <w:p>
      <w:pPr>
        <w:pStyle w:val="FirstParagraph"/>
      </w:pPr>
      <w:r>
        <w:t xml:space="preserve">Based on Lima-specific insights, we propose three priority actions:</w:t>
      </w:r>
    </w:p>
    <w:p>
      <w:pPr>
        <w:numPr>
          <w:ilvl w:val="0"/>
          <w:numId w:val="1002"/>
        </w:numPr>
        <w:pStyle w:val="Compact"/>
      </w:pPr>
      <w:r>
        <w:rPr>
          <w:bCs/>
          <w:b/>
        </w:rPr>
        <w:t xml:space="preserve">Launch "Peru Research Hub" Initiative:</w:t>
      </w:r>
      <w:r>
        <w:t xml:space="preserve"> </w:t>
      </w:r>
      <w:r>
        <w:t xml:space="preserve">Establish physical co-working space at Universidad de Lima's Innovation Center. This will position our Academic Researchers as embedded partners rather than external vendors, targeting 25% higher retention in pilot phase (Q4). Estimated ROI: $210K by Q1 2024.</w:t>
      </w:r>
    </w:p>
    <w:p>
      <w:pPr>
        <w:numPr>
          <w:ilvl w:val="0"/>
          <w:numId w:val="1002"/>
        </w:numPr>
        <w:pStyle w:val="Compact"/>
      </w:pPr>
      <w:r>
        <w:rPr>
          <w:bCs/>
          <w:b/>
        </w:rPr>
        <w:t xml:space="preserve">Develop Government-Focused Service Suite:</w:t>
      </w:r>
      <w:r>
        <w:t xml:space="preserve"> </w:t>
      </w:r>
      <w:r>
        <w:t xml:space="preserve">Create standardized research packages aligned with Peru's new "Sustainable Development Research Tax Incentives" law. Targeting CONCYTEC and municipal research departments for $500K+ contracts before year-end.</w:t>
      </w:r>
    </w:p>
    <w:p>
      <w:pPr>
        <w:numPr>
          <w:ilvl w:val="0"/>
          <w:numId w:val="1002"/>
        </w:numPr>
        <w:pStyle w:val="Compact"/>
      </w:pPr>
      <w:r>
        <w:rPr>
          <w:bCs/>
          <w:b/>
        </w:rPr>
        <w:t xml:space="preserve">Academic Partnership Program:</w:t>
      </w:r>
      <w:r>
        <w:t xml:space="preserve"> </w:t>
      </w:r>
      <w:r>
        <w:t xml:space="preserve">Co-brand white papers with Lima universities on topics like "AI in Andean Agriculture Research." This builds thought leadership while generating qualified leads through academic channels. Pilot program with Pontificia Universidad Católica has already generated 12 qualified prospects.</w:t>
      </w:r>
    </w:p>
    <w:bookmarkEnd w:id="27"/>
    <w:bookmarkStart w:id="28" w:name="vi.-conclusion"/>
    <w:p>
      <w:pPr>
        <w:pStyle w:val="Heading2"/>
      </w:pPr>
      <w:r>
        <w:t xml:space="preserve">VI. Conclusion</w:t>
      </w:r>
    </w:p>
    <w:p>
      <w:pPr>
        <w:pStyle w:val="FirstParagraph"/>
      </w:pPr>
      <w:r>
        <w:t xml:space="preserve">Lima remains the critical growth engine for our Academic Researcher division in Peru. The city's concentration of research institutions, combined with targeted government investment, creates a uniquely fertile environment for specialized academic services. Our Q3 performance demonstrates that success requires deep cultural integration – not just transactional sales. By embedding our Academic Researchers within Peru's educational ecosystem and adapting service models to local realities (such as CONCYTEC funding cycles and Andean research contexts), we've achieved sustainable growth where generic approaches would fail.</w:t>
      </w:r>
    </w:p>
    <w:p>
      <w:pPr>
        <w:pStyle w:val="BodyText"/>
      </w:pPr>
      <w:r>
        <w:t xml:space="preserve">As the most promising market in Latin America for academic research services, Lima demands continued investment in local expertise. Our team's ability to navigate Peru's specific regulatory landscape while delivering culturally relevant research solutions has been instrumental to our Q3 success. Moving forward, we recommend doubling down on our Lima-based Academic Researcher talent development – the foundation of our competitive advantage in this market.</w:t>
      </w:r>
    </w:p>
    <w:bookmarkEnd w:id="28"/>
    <w:bookmarkStart w:id="29" w:name="Xf1d37e9772de44d58af51711ce44372d6056e6a"/>
    <w:p>
      <w:pPr>
        <w:pStyle w:val="Heading2"/>
      </w:pPr>
      <w:r>
        <w:t xml:space="preserve">VII. Financial Forecast: Lima Market (Q4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Projection</w:t>
            </w:r>
          </w:p>
        </w:tc>
        <w:tc>
          <w:tcPr/>
          <w:p>
            <w:pPr>
              <w:pStyle w:val="Compact"/>
              <w:jc w:val="left"/>
            </w:pPr>
            <w:r>
              <w:t xml:space="preserve">Amount</w:t>
            </w:r>
          </w:p>
        </w:tc>
        <w:tc>
          <w:tcPr/>
          <w:p>
            <w:pPr>
              <w:pStyle w:val="Compact"/>
              <w:jc w:val="left"/>
            </w:pPr>
            <w:r>
              <w:t xml:space="preserve">Change from Q3</w:t>
            </w:r>
          </w:p>
        </w:tc>
      </w:tr>
      <w:tr>
        <w:tc>
          <w:tcPr/>
          <w:p>
            <w:pPr>
              <w:pStyle w:val="Compact"/>
              <w:jc w:val="left"/>
            </w:pPr>
            <w:r>
              <w:t xml:space="preserve">Total Revenue (Lima)</w:t>
            </w:r>
          </w:p>
        </w:tc>
        <w:tc>
          <w:tcPr/>
          <w:p>
            <w:pPr>
              <w:pStyle w:val="Compact"/>
              <w:jc w:val="left"/>
            </w:pPr>
            <w:r>
              <w:t xml:space="preserve">$2.15M</w:t>
            </w:r>
          </w:p>
        </w:tc>
        <w:tc>
          <w:tcPr/>
          <w:p>
            <w:pPr>
              <w:pStyle w:val="Compact"/>
              <w:jc w:val="left"/>
            </w:pPr>
            <w:r>
              <w:t xml:space="preserve">+16.8%</w:t>
            </w:r>
          </w:p>
        </w:tc>
      </w:tr>
      <w:tr>
        <w:tc>
          <w:tcPr/>
          <w:p>
            <w:pPr>
              <w:pStyle w:val="Compact"/>
              <w:jc w:val="left"/>
            </w:pPr>
            <w:r>
              <w:t xml:space="preserve">New University Partnerships</w:t>
            </w:r>
          </w:p>
        </w:tc>
        <w:tc>
          <w:tcPr/>
          <w:p>
            <w:pPr>
              <w:pStyle w:val="Compact"/>
              <w:jc w:val="left"/>
            </w:pPr>
            <w:r>
              <w:t xml:space="preserve">10-12</w:t>
            </w:r>
          </w:p>
        </w:tc>
        <w:tc>
          <w:tcPr/>
          <w:p>
            <w:pPr>
              <w:pStyle w:val="Compact"/>
            </w:pPr>
          </w:p>
        </w:tc>
      </w:tr>
      <w:tr>
        <w:tc>
          <w:tcPr/>
          <w:p>
            <w:pPr>
              <w:pStyle w:val="Compact"/>
              <w:jc w:val="left"/>
            </w:pPr>
            <w:r>
              <w:t xml:space="preserve">Net Margin Target</w:t>
            </w:r>
          </w:p>
        </w:tc>
        <w:tc>
          <w:tcPr/>
          <w:p>
            <w:pPr>
              <w:pStyle w:val="Compact"/>
              <w:jc w:val="left"/>
            </w:pPr>
            <w:r>
              <w:t xml:space="preserve">38%</w:t>
            </w:r>
          </w:p>
        </w:tc>
        <w:tc>
          <w:tcPr/>
          <w:p>
            <w:pPr>
              <w:pStyle w:val="Compact"/>
              <w:jc w:val="left"/>
            </w:pPr>
            <w:r>
              <w:t xml:space="preserve">+3.5% YoY</w:t>
            </w:r>
          </w:p>
        </w:tc>
      </w:tr>
    </w:tbl>
    <w:p>
      <w:pPr>
        <w:pStyle w:val="BodyText"/>
      </w:pPr>
      <w:r>
        <w:t xml:space="preserve">This Sales Report is confidential and proprietary to [Company Name]. Distribution restricted to authorized personnel only. For inquiries regarding Lima market strategy, contact the Academic Research Division at lima.research@company.com.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Lima, Peru</dc:title>
  <dc:creator/>
  <dc:language>en</dc:language>
  <cp:keywords/>
  <dcterms:created xsi:type="dcterms:W3CDTF">2026-05-30T23:08:23Z</dcterms:created>
  <dcterms:modified xsi:type="dcterms:W3CDTF">2026-05-30T23:08:23Z</dcterms:modified>
</cp:coreProperties>
</file>

<file path=docProps/custom.xml><?xml version="1.0" encoding="utf-8"?>
<Properties xmlns="http://schemas.openxmlformats.org/officeDocument/2006/custom-properties" xmlns:vt="http://schemas.openxmlformats.org/officeDocument/2006/docPropsVTypes"/>
</file>